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91" w:rsidRPr="008C273A" w:rsidRDefault="00C71F91" w:rsidP="007A53F2">
      <w:pPr>
        <w:spacing w:after="0" w:line="240" w:lineRule="auto"/>
        <w:ind w:firstLine="7655"/>
        <w:jc w:val="both"/>
        <w:rPr>
          <w:rFonts w:ascii="Times New Roman" w:hAnsi="Times New Roman"/>
          <w:spacing w:val="-4"/>
          <w:sz w:val="28"/>
          <w:szCs w:val="28"/>
        </w:rPr>
      </w:pPr>
      <w:r w:rsidRPr="008C273A">
        <w:rPr>
          <w:rFonts w:ascii="Times New Roman" w:hAnsi="Times New Roman"/>
          <w:spacing w:val="-4"/>
          <w:sz w:val="28"/>
          <w:szCs w:val="28"/>
        </w:rPr>
        <w:t xml:space="preserve">Додаток 1 </w:t>
      </w:r>
    </w:p>
    <w:p w:rsidR="00C71F91" w:rsidRPr="008C273A" w:rsidRDefault="00C71F91" w:rsidP="00E93EEF">
      <w:pPr>
        <w:spacing w:after="0" w:line="240" w:lineRule="auto"/>
        <w:ind w:firstLine="7655"/>
        <w:rPr>
          <w:rFonts w:ascii="Times New Roman" w:hAnsi="Times New Roman"/>
          <w:spacing w:val="-4"/>
          <w:sz w:val="28"/>
          <w:szCs w:val="28"/>
        </w:rPr>
      </w:pPr>
      <w:r w:rsidRPr="008C273A">
        <w:rPr>
          <w:rFonts w:ascii="Times New Roman" w:hAnsi="Times New Roman"/>
          <w:spacing w:val="-4"/>
          <w:sz w:val="28"/>
          <w:szCs w:val="28"/>
        </w:rPr>
        <w:t>до Програми</w:t>
      </w:r>
    </w:p>
    <w:p w:rsidR="00C71F91" w:rsidRPr="008C273A" w:rsidRDefault="00C71F91" w:rsidP="00E93EEF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C71F91" w:rsidRPr="008C273A" w:rsidRDefault="00C71F91" w:rsidP="00D04C5C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C273A">
        <w:rPr>
          <w:rFonts w:ascii="Times New Roman" w:hAnsi="Times New Roman"/>
          <w:b/>
          <w:spacing w:val="-4"/>
          <w:sz w:val="28"/>
          <w:szCs w:val="28"/>
        </w:rPr>
        <w:t>ПАСПОРТ</w:t>
      </w:r>
    </w:p>
    <w:p w:rsidR="00104053" w:rsidRPr="008C273A" w:rsidRDefault="00104053" w:rsidP="0010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273A">
        <w:rPr>
          <w:rFonts w:ascii="Times New Roman" w:hAnsi="Times New Roman"/>
          <w:b/>
          <w:bCs/>
          <w:sz w:val="28"/>
          <w:szCs w:val="28"/>
        </w:rPr>
        <w:t>о</w:t>
      </w:r>
      <w:r w:rsidRPr="008C273A">
        <w:rPr>
          <w:rFonts w:ascii="Times New Roman" w:hAnsi="Times New Roman"/>
          <w:b/>
          <w:sz w:val="28"/>
          <w:szCs w:val="28"/>
        </w:rPr>
        <w:t xml:space="preserve">бласної програми </w:t>
      </w:r>
      <w:proofErr w:type="spellStart"/>
      <w:r w:rsidRPr="008C273A">
        <w:rPr>
          <w:rFonts w:ascii="Times New Roman" w:hAnsi="Times New Roman"/>
          <w:b/>
          <w:sz w:val="28"/>
          <w:szCs w:val="28"/>
        </w:rPr>
        <w:t>„Розвиток</w:t>
      </w:r>
      <w:proofErr w:type="spellEnd"/>
      <w:r w:rsidRPr="008C273A">
        <w:rPr>
          <w:rFonts w:ascii="Times New Roman" w:hAnsi="Times New Roman"/>
          <w:b/>
          <w:sz w:val="28"/>
          <w:szCs w:val="28"/>
        </w:rPr>
        <w:t xml:space="preserve"> медичної допомоги методом трансплантації органів та інших анатомічних матеріалів в Черкаській </w:t>
      </w:r>
      <w:proofErr w:type="spellStart"/>
      <w:r w:rsidRPr="008C273A">
        <w:rPr>
          <w:rFonts w:ascii="Times New Roman" w:hAnsi="Times New Roman"/>
          <w:b/>
          <w:sz w:val="28"/>
          <w:szCs w:val="28"/>
        </w:rPr>
        <w:t>області“</w:t>
      </w:r>
      <w:proofErr w:type="spellEnd"/>
      <w:r w:rsidRPr="008C273A">
        <w:rPr>
          <w:rFonts w:ascii="Times New Roman" w:hAnsi="Times New Roman"/>
          <w:b/>
          <w:sz w:val="28"/>
          <w:szCs w:val="28"/>
        </w:rPr>
        <w:t xml:space="preserve"> </w:t>
      </w:r>
    </w:p>
    <w:p w:rsidR="00104053" w:rsidRPr="008C273A" w:rsidRDefault="00104053" w:rsidP="0010405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C273A">
        <w:rPr>
          <w:rFonts w:ascii="Times New Roman" w:hAnsi="Times New Roman"/>
          <w:b/>
          <w:sz w:val="28"/>
          <w:szCs w:val="28"/>
        </w:rPr>
        <w:t>на 2021-2022 роки</w:t>
      </w:r>
    </w:p>
    <w:p w:rsidR="00C71F91" w:rsidRPr="008C273A" w:rsidRDefault="00C71F91" w:rsidP="00D04C5C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060"/>
        <w:gridCol w:w="6300"/>
      </w:tblGrid>
      <w:tr w:rsidR="00C71F91" w:rsidRPr="008C273A" w:rsidTr="006E176C">
        <w:tc>
          <w:tcPr>
            <w:tcW w:w="468" w:type="dxa"/>
          </w:tcPr>
          <w:p w:rsidR="00C71F91" w:rsidRPr="008C273A" w:rsidRDefault="00C71F91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:rsidR="00C71F91" w:rsidRPr="008C273A" w:rsidRDefault="00C71F91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300" w:type="dxa"/>
          </w:tcPr>
          <w:p w:rsidR="00C71F91" w:rsidRPr="008C273A" w:rsidRDefault="00C71F91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Черкаська обласна державна адміністрація</w:t>
            </w:r>
          </w:p>
        </w:tc>
      </w:tr>
      <w:tr w:rsidR="00C71F91" w:rsidRPr="008C273A" w:rsidTr="006E176C">
        <w:tc>
          <w:tcPr>
            <w:tcW w:w="468" w:type="dxa"/>
          </w:tcPr>
          <w:p w:rsidR="00C71F91" w:rsidRPr="008C273A" w:rsidRDefault="00C71F91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:rsidR="00C71F91" w:rsidRPr="008C273A" w:rsidRDefault="00104053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Нормативно-правові акти, на підставі яких розроблена Програма</w:t>
            </w:r>
          </w:p>
        </w:tc>
        <w:tc>
          <w:tcPr>
            <w:tcW w:w="6300" w:type="dxa"/>
          </w:tcPr>
          <w:p w:rsidR="00C71F91" w:rsidRPr="008C273A" w:rsidRDefault="00104053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z w:val="28"/>
                <w:szCs w:val="28"/>
              </w:rPr>
              <w:t xml:space="preserve">Закони України </w:t>
            </w:r>
            <w:proofErr w:type="spellStart"/>
            <w:r w:rsidRPr="008C273A">
              <w:rPr>
                <w:rFonts w:ascii="Times New Roman" w:hAnsi="Times New Roman"/>
                <w:sz w:val="28"/>
                <w:szCs w:val="28"/>
              </w:rPr>
              <w:t>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</w:t>
            </w:r>
            <w:proofErr w:type="spellEnd"/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місцеве самоврядування 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br/>
              <w:t xml:space="preserve">в </w:t>
            </w:r>
            <w:proofErr w:type="spellStart"/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Україні</w:t>
            </w:r>
            <w:r w:rsidRPr="008C273A">
              <w:rPr>
                <w:rFonts w:ascii="Times New Roman" w:hAnsi="Times New Roman"/>
                <w:sz w:val="28"/>
                <w:szCs w:val="28"/>
              </w:rPr>
              <w:t>“</w:t>
            </w:r>
            <w:proofErr w:type="spellEnd"/>
            <w:r w:rsidRPr="008C27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C273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Основи</w:t>
            </w:r>
            <w:proofErr w:type="spellEnd"/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законодавства України 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br/>
              <w:t xml:space="preserve">про охорону </w:t>
            </w:r>
            <w:proofErr w:type="spellStart"/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здоров’я</w:t>
            </w:r>
            <w:r w:rsidRPr="008C273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“</w:t>
            </w:r>
            <w:proofErr w:type="spellEnd"/>
            <w:r w:rsidRPr="008C273A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C273A">
              <w:rPr>
                <w:rFonts w:ascii="Times New Roman" w:hAnsi="Times New Roman"/>
                <w:sz w:val="28"/>
                <w:szCs w:val="28"/>
              </w:rPr>
              <w:t>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</w:t>
            </w:r>
            <w:proofErr w:type="spellEnd"/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застосування трансплантації анатомічних матеріалів </w:t>
            </w:r>
            <w:proofErr w:type="spellStart"/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людині</w:t>
            </w:r>
            <w:r w:rsidRPr="008C273A">
              <w:rPr>
                <w:rFonts w:ascii="Times New Roman" w:hAnsi="Times New Roman"/>
                <w:sz w:val="28"/>
                <w:szCs w:val="28"/>
              </w:rPr>
              <w:t>“</w:t>
            </w:r>
            <w:proofErr w:type="spellEnd"/>
            <w:r w:rsidRPr="008C27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C273A">
              <w:rPr>
                <w:rFonts w:ascii="Times New Roman" w:hAnsi="Times New Roman"/>
                <w:sz w:val="28"/>
                <w:szCs w:val="28"/>
              </w:rPr>
              <w:t>„</w:t>
            </w:r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Про</w:t>
            </w:r>
            <w:proofErr w:type="spellEnd"/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внесення змін до деяких законодавчих актів України, що регулюють питання трансплантації анатомічних матеріалів </w:t>
            </w:r>
            <w:proofErr w:type="spellStart"/>
            <w:r w:rsidRPr="008C273A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людині</w:t>
            </w:r>
            <w:r w:rsidRPr="008C273A">
              <w:rPr>
                <w:rFonts w:ascii="Times New Roman" w:hAnsi="Times New Roman"/>
                <w:sz w:val="28"/>
                <w:szCs w:val="28"/>
              </w:rPr>
              <w:t>“</w:t>
            </w:r>
            <w:proofErr w:type="spellEnd"/>
          </w:p>
        </w:tc>
      </w:tr>
      <w:tr w:rsidR="00C71F91" w:rsidRPr="008C273A" w:rsidTr="006E176C">
        <w:tc>
          <w:tcPr>
            <w:tcW w:w="468" w:type="dxa"/>
          </w:tcPr>
          <w:p w:rsidR="00C71F91" w:rsidRPr="008C273A" w:rsidRDefault="00C71F91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:rsidR="00C71F91" w:rsidRPr="008C273A" w:rsidRDefault="00C71F91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Розробник Програми</w:t>
            </w:r>
          </w:p>
        </w:tc>
        <w:tc>
          <w:tcPr>
            <w:tcW w:w="6300" w:type="dxa"/>
          </w:tcPr>
          <w:p w:rsidR="00C71F91" w:rsidRPr="008C273A" w:rsidRDefault="00C71F91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обласної державної адміністрації</w:t>
            </w:r>
          </w:p>
        </w:tc>
      </w:tr>
      <w:tr w:rsidR="00C71F91" w:rsidRPr="008C273A" w:rsidTr="006E176C">
        <w:trPr>
          <w:trHeight w:val="579"/>
        </w:trPr>
        <w:tc>
          <w:tcPr>
            <w:tcW w:w="468" w:type="dxa"/>
          </w:tcPr>
          <w:p w:rsidR="00C71F91" w:rsidRPr="008C273A" w:rsidRDefault="00C71F91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:rsidR="00C71F91" w:rsidRPr="008C273A" w:rsidRDefault="00C71F91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300" w:type="dxa"/>
          </w:tcPr>
          <w:p w:rsidR="00C71F91" w:rsidRPr="008C273A" w:rsidRDefault="00C71F91" w:rsidP="00104053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Управління охорони здоров’я Черкаської обласної державної адміністрації</w:t>
            </w:r>
          </w:p>
        </w:tc>
      </w:tr>
      <w:tr w:rsidR="00C71F91" w:rsidRPr="008C273A" w:rsidTr="006E176C">
        <w:trPr>
          <w:trHeight w:val="317"/>
        </w:trPr>
        <w:tc>
          <w:tcPr>
            <w:tcW w:w="468" w:type="dxa"/>
          </w:tcPr>
          <w:p w:rsidR="00C71F91" w:rsidRPr="008C273A" w:rsidRDefault="00C71F91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:rsidR="00C71F91" w:rsidRPr="008C273A" w:rsidRDefault="00797D00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Учасники</w:t>
            </w:r>
            <w:r w:rsidR="00C71F91"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Програми</w:t>
            </w:r>
          </w:p>
        </w:tc>
        <w:tc>
          <w:tcPr>
            <w:tcW w:w="6300" w:type="dxa"/>
            <w:shd w:val="clear" w:color="auto" w:fill="FFFFFF"/>
          </w:tcPr>
          <w:p w:rsidR="00C71F91" w:rsidRPr="008C273A" w:rsidRDefault="008C273A" w:rsidP="00707A8E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Управління охорони здоров’я Черкаської обласної державної адміністрації, Комунальне некомерційне підприємство </w:t>
            </w:r>
            <w:proofErr w:type="spellStart"/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„Черкаський</w:t>
            </w:r>
            <w:proofErr w:type="spellEnd"/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обласний онкологічний диспансер Черкаської обласної </w:t>
            </w:r>
            <w:proofErr w:type="spellStart"/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ради“</w:t>
            </w:r>
            <w:proofErr w:type="spellEnd"/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Комунальне некомерційне підприємство </w:t>
            </w:r>
            <w:proofErr w:type="spellStart"/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„Черкаський</w:t>
            </w:r>
            <w:proofErr w:type="spellEnd"/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обласний кардіологічний центр Черкаської обласної </w:t>
            </w:r>
            <w:proofErr w:type="spellStart"/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ради“</w:t>
            </w:r>
            <w:proofErr w:type="spellEnd"/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Комунальне некомерційне підприємство </w:t>
            </w:r>
            <w:proofErr w:type="spellStart"/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„Черкаська</w:t>
            </w:r>
            <w:proofErr w:type="spellEnd"/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обласна лікарня Черкаської обласної </w:t>
            </w:r>
            <w:proofErr w:type="spellStart"/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ради“</w:t>
            </w:r>
            <w:proofErr w:type="spellEnd"/>
          </w:p>
        </w:tc>
      </w:tr>
      <w:tr w:rsidR="00C71F91" w:rsidRPr="008C273A" w:rsidTr="006E176C">
        <w:trPr>
          <w:trHeight w:val="363"/>
        </w:trPr>
        <w:tc>
          <w:tcPr>
            <w:tcW w:w="468" w:type="dxa"/>
          </w:tcPr>
          <w:p w:rsidR="00C71F91" w:rsidRPr="008C273A" w:rsidRDefault="00C71F91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:rsidR="00C71F91" w:rsidRPr="008C273A" w:rsidRDefault="00C71F91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Строк виконання Програми</w:t>
            </w:r>
          </w:p>
        </w:tc>
        <w:tc>
          <w:tcPr>
            <w:tcW w:w="6300" w:type="dxa"/>
          </w:tcPr>
          <w:p w:rsidR="00C71F91" w:rsidRPr="008C273A" w:rsidRDefault="00C71F91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202</w:t>
            </w:r>
            <w:r w:rsidR="002F2B4B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1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-202</w:t>
            </w:r>
            <w:r w:rsidR="00797D00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2</w:t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роки</w:t>
            </w:r>
          </w:p>
        </w:tc>
      </w:tr>
      <w:tr w:rsidR="00C71F91" w:rsidRPr="008C273A" w:rsidTr="00104053">
        <w:trPr>
          <w:trHeight w:val="930"/>
        </w:trPr>
        <w:tc>
          <w:tcPr>
            <w:tcW w:w="468" w:type="dxa"/>
          </w:tcPr>
          <w:p w:rsidR="00C71F91" w:rsidRPr="008C273A" w:rsidRDefault="00C71F91" w:rsidP="00104053">
            <w:pPr>
              <w:numPr>
                <w:ilvl w:val="0"/>
                <w:numId w:val="2"/>
              </w:numPr>
              <w:tabs>
                <w:tab w:val="num" w:pos="567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060" w:type="dxa"/>
          </w:tcPr>
          <w:p w:rsidR="00C71F91" w:rsidRPr="008C273A" w:rsidRDefault="00C71F91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Перелік бюджетів, </w:t>
            </w:r>
            <w:r w:rsidR="00104053" w:rsidRPr="008C273A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які беруть участь </w:t>
            </w:r>
            <w:r w:rsidR="00104053" w:rsidRPr="008C273A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у виконанні Програми</w:t>
            </w:r>
          </w:p>
        </w:tc>
        <w:tc>
          <w:tcPr>
            <w:tcW w:w="6300" w:type="dxa"/>
          </w:tcPr>
          <w:p w:rsidR="00C71F91" w:rsidRPr="008C273A" w:rsidRDefault="008C273A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Д</w:t>
            </w:r>
            <w:proofErr w:type="spellStart"/>
            <w:r w:rsidR="00797D00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ержавний</w:t>
            </w:r>
            <w:proofErr w:type="spellEnd"/>
            <w:r w:rsidR="00797D00"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бюджет, о</w:t>
            </w:r>
            <w:r w:rsidR="00C71F91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бласний бюджет</w:t>
            </w:r>
            <w:r w:rsidR="00797D00"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proofErr w:type="gramStart"/>
            <w:r w:rsidR="00797D00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м</w:t>
            </w:r>
            <w:proofErr w:type="gramEnd"/>
            <w:r w:rsidR="00797D00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ісцеві бюджети, інші джерела, не</w:t>
            </w:r>
            <w:r w:rsidR="006D5FFB" w:rsidRPr="008C273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97D00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заборонені чинним з</w:t>
            </w:r>
            <w:r w:rsidR="006D5FFB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 w:rsidR="00797D00"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конодавством</w:t>
            </w:r>
          </w:p>
        </w:tc>
      </w:tr>
      <w:tr w:rsidR="00C71F91" w:rsidRPr="008C273A" w:rsidTr="006E176C">
        <w:trPr>
          <w:trHeight w:val="363"/>
        </w:trPr>
        <w:tc>
          <w:tcPr>
            <w:tcW w:w="468" w:type="dxa"/>
          </w:tcPr>
          <w:p w:rsidR="00C71F91" w:rsidRPr="008C273A" w:rsidRDefault="00C71F91" w:rsidP="00104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8.</w:t>
            </w:r>
          </w:p>
        </w:tc>
        <w:tc>
          <w:tcPr>
            <w:tcW w:w="3060" w:type="dxa"/>
          </w:tcPr>
          <w:p w:rsidR="00C71F91" w:rsidRPr="008C273A" w:rsidRDefault="00C71F91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C273A">
              <w:rPr>
                <w:rFonts w:ascii="Times New Roman" w:hAnsi="Times New Roman"/>
                <w:spacing w:val="-4"/>
                <w:sz w:val="28"/>
                <w:szCs w:val="28"/>
              </w:rPr>
              <w:t>Загальний орієнтовний обсяг фінансових ресурсів, необхідних для реалізації Програми</w:t>
            </w:r>
          </w:p>
        </w:tc>
        <w:tc>
          <w:tcPr>
            <w:tcW w:w="6300" w:type="dxa"/>
          </w:tcPr>
          <w:p w:rsidR="00C71F91" w:rsidRPr="008C273A" w:rsidRDefault="008C273A" w:rsidP="0010405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</w:pPr>
            <w:r w:rsidRPr="008C273A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spellStart"/>
            <w:r w:rsidR="00C71F91" w:rsidRPr="008C273A">
              <w:rPr>
                <w:rFonts w:ascii="Times New Roman" w:hAnsi="Times New Roman"/>
                <w:sz w:val="28"/>
                <w:szCs w:val="28"/>
              </w:rPr>
              <w:t>изначається</w:t>
            </w:r>
            <w:proofErr w:type="spellEnd"/>
            <w:r w:rsidR="00C71F91" w:rsidRPr="008C273A">
              <w:rPr>
                <w:rFonts w:ascii="Times New Roman" w:hAnsi="Times New Roman"/>
                <w:sz w:val="28"/>
                <w:szCs w:val="28"/>
              </w:rPr>
              <w:t xml:space="preserve"> щорічно в межах фінансови</w:t>
            </w:r>
            <w:r w:rsidR="002F2B4B" w:rsidRPr="008C273A">
              <w:rPr>
                <w:rFonts w:ascii="Times New Roman" w:hAnsi="Times New Roman"/>
                <w:sz w:val="28"/>
                <w:szCs w:val="28"/>
              </w:rPr>
              <w:t>х можливостей місцевих бюджеті</w:t>
            </w:r>
            <w:proofErr w:type="gramStart"/>
            <w:r w:rsidR="002F2B4B" w:rsidRPr="008C273A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2F2B4B" w:rsidRPr="008C27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71F91" w:rsidRPr="008C273A" w:rsidRDefault="00C71F91" w:rsidP="00104053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104053" w:rsidRPr="008C273A" w:rsidRDefault="00104053" w:rsidP="00104053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2F2B4B" w:rsidRPr="008C273A" w:rsidRDefault="002F2B4B" w:rsidP="00104053">
      <w:pPr>
        <w:spacing w:after="0" w:line="240" w:lineRule="auto"/>
        <w:rPr>
          <w:rFonts w:ascii="Times New Roman" w:hAnsi="Times New Roman"/>
          <w:spacing w:val="-4"/>
          <w:sz w:val="28"/>
          <w:szCs w:val="28"/>
          <w:lang w:val="ru-RU"/>
        </w:rPr>
      </w:pPr>
    </w:p>
    <w:p w:rsidR="00C71F91" w:rsidRPr="008C273A" w:rsidRDefault="00C71F91" w:rsidP="00104053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 w:rsidRPr="008C273A">
        <w:rPr>
          <w:rFonts w:ascii="Times New Roman" w:hAnsi="Times New Roman"/>
          <w:spacing w:val="-4"/>
          <w:sz w:val="28"/>
          <w:szCs w:val="28"/>
          <w:lang w:val="ru-RU"/>
        </w:rPr>
        <w:t>К</w:t>
      </w:r>
      <w:proofErr w:type="spellStart"/>
      <w:r w:rsidRPr="008C273A">
        <w:rPr>
          <w:rFonts w:ascii="Times New Roman" w:hAnsi="Times New Roman"/>
          <w:spacing w:val="-4"/>
          <w:sz w:val="28"/>
          <w:szCs w:val="28"/>
        </w:rPr>
        <w:t>ерівник</w:t>
      </w:r>
      <w:proofErr w:type="spellEnd"/>
      <w:r w:rsidRPr="008C273A">
        <w:rPr>
          <w:rFonts w:ascii="Times New Roman" w:hAnsi="Times New Roman"/>
          <w:spacing w:val="-4"/>
          <w:sz w:val="28"/>
          <w:szCs w:val="28"/>
        </w:rPr>
        <w:t xml:space="preserve"> секретаріату                                    </w:t>
      </w:r>
      <w:r w:rsidRPr="008C273A">
        <w:rPr>
          <w:rFonts w:ascii="Times New Roman" w:hAnsi="Times New Roman"/>
          <w:spacing w:val="-4"/>
          <w:sz w:val="28"/>
          <w:szCs w:val="28"/>
        </w:rPr>
        <w:tab/>
      </w:r>
      <w:r w:rsidRPr="008C273A">
        <w:rPr>
          <w:rFonts w:ascii="Times New Roman" w:hAnsi="Times New Roman"/>
          <w:spacing w:val="-4"/>
          <w:sz w:val="28"/>
          <w:szCs w:val="28"/>
        </w:rPr>
        <w:tab/>
      </w:r>
      <w:r w:rsidRPr="008C273A">
        <w:rPr>
          <w:rFonts w:ascii="Times New Roman" w:hAnsi="Times New Roman"/>
          <w:spacing w:val="-4"/>
          <w:sz w:val="28"/>
          <w:szCs w:val="28"/>
        </w:rPr>
        <w:tab/>
      </w:r>
      <w:r w:rsidRPr="008C273A">
        <w:rPr>
          <w:rFonts w:ascii="Times New Roman" w:hAnsi="Times New Roman"/>
          <w:spacing w:val="-4"/>
          <w:sz w:val="28"/>
          <w:szCs w:val="28"/>
        </w:rPr>
        <w:tab/>
        <w:t>Б. ПАНІЩЕВ</w:t>
      </w:r>
    </w:p>
    <w:sectPr w:rsidR="00C71F91" w:rsidRPr="008C273A" w:rsidSect="00783B8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3631EDA" w15:done="0"/>
  <w15:commentEx w15:paraId="3C7F8527" w15:done="0"/>
  <w15:commentEx w15:paraId="19BBCDCB" w15:done="0"/>
  <w15:commentEx w15:paraId="1027EB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6F164" w16cex:dateUtc="2021-04-06T11:40:00Z"/>
  <w16cex:commentExtensible w16cex:durableId="2416F17E" w16cex:dateUtc="2021-04-06T11:41:00Z"/>
  <w16cex:commentExtensible w16cex:durableId="2416F228" w16cex:dateUtc="2021-04-06T11:43:00Z"/>
  <w16cex:commentExtensible w16cex:durableId="2416F19F" w16cex:dateUtc="2021-04-06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631EDA" w16cid:durableId="2416F164"/>
  <w16cid:commentId w16cid:paraId="3C7F8527" w16cid:durableId="2416F17E"/>
  <w16cid:commentId w16cid:paraId="19BBCDCB" w16cid:durableId="2416F228"/>
  <w16cid:commentId w16cid:paraId="1027EB5A" w16cid:durableId="2416F19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195" w:rsidRDefault="00895195" w:rsidP="00D83B3F">
      <w:pPr>
        <w:spacing w:after="0" w:line="240" w:lineRule="auto"/>
      </w:pPr>
      <w:r>
        <w:separator/>
      </w:r>
    </w:p>
  </w:endnote>
  <w:endnote w:type="continuationSeparator" w:id="0">
    <w:p w:rsidR="00895195" w:rsidRDefault="00895195" w:rsidP="00D8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195" w:rsidRDefault="00895195" w:rsidP="00D83B3F">
      <w:pPr>
        <w:spacing w:after="0" w:line="240" w:lineRule="auto"/>
      </w:pPr>
      <w:r>
        <w:separator/>
      </w:r>
    </w:p>
  </w:footnote>
  <w:footnote w:type="continuationSeparator" w:id="0">
    <w:p w:rsidR="00895195" w:rsidRDefault="00895195" w:rsidP="00D8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91" w:rsidRPr="00D83B3F" w:rsidRDefault="00B967D4">
    <w:pPr>
      <w:pStyle w:val="a3"/>
      <w:jc w:val="center"/>
      <w:rPr>
        <w:rFonts w:ascii="Times New Roman" w:hAnsi="Times New Roman"/>
      </w:rPr>
    </w:pPr>
    <w:r w:rsidRPr="00D83B3F">
      <w:rPr>
        <w:rFonts w:ascii="Times New Roman" w:hAnsi="Times New Roman"/>
      </w:rPr>
      <w:fldChar w:fldCharType="begin"/>
    </w:r>
    <w:r w:rsidR="00C71F91" w:rsidRPr="00D83B3F">
      <w:rPr>
        <w:rFonts w:ascii="Times New Roman" w:hAnsi="Times New Roman"/>
      </w:rPr>
      <w:instrText>PAGE   \* MERGEFORMAT</w:instrText>
    </w:r>
    <w:r w:rsidRPr="00D83B3F">
      <w:rPr>
        <w:rFonts w:ascii="Times New Roman" w:hAnsi="Times New Roman"/>
      </w:rPr>
      <w:fldChar w:fldCharType="separate"/>
    </w:r>
    <w:r w:rsidR="002F2B4B" w:rsidRPr="002F2B4B">
      <w:rPr>
        <w:rFonts w:ascii="Times New Roman" w:hAnsi="Times New Roman"/>
        <w:noProof/>
        <w:lang w:val="ru-RU"/>
      </w:rPr>
      <w:t>2</w:t>
    </w:r>
    <w:r w:rsidRPr="00D83B3F">
      <w:rPr>
        <w:rFonts w:ascii="Times New Roman" w:hAnsi="Times New Roman"/>
      </w:rPr>
      <w:fldChar w:fldCharType="end"/>
    </w:r>
  </w:p>
  <w:p w:rsidR="00C71F91" w:rsidRDefault="00C71F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6750D"/>
    <w:multiLevelType w:val="hybridMultilevel"/>
    <w:tmpl w:val="1AB847A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">
    <w:nsid w:val="32E072CA"/>
    <w:multiLevelType w:val="hybridMultilevel"/>
    <w:tmpl w:val="CB982174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Гурієнко Наталія Валеріївна">
    <w15:presenceInfo w15:providerId="AD" w15:userId="S-1-5-21-2336177885-1294262598-4064953463-13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46AF"/>
    <w:rsid w:val="000B34EF"/>
    <w:rsid w:val="000D7051"/>
    <w:rsid w:val="000E32C3"/>
    <w:rsid w:val="000F3B12"/>
    <w:rsid w:val="00104053"/>
    <w:rsid w:val="00120715"/>
    <w:rsid w:val="00121788"/>
    <w:rsid w:val="00136C4D"/>
    <w:rsid w:val="00175E53"/>
    <w:rsid w:val="00176651"/>
    <w:rsid w:val="001C19B6"/>
    <w:rsid w:val="0028648C"/>
    <w:rsid w:val="002A2F4C"/>
    <w:rsid w:val="002D1448"/>
    <w:rsid w:val="002F25CA"/>
    <w:rsid w:val="002F2B4B"/>
    <w:rsid w:val="00313644"/>
    <w:rsid w:val="0031540B"/>
    <w:rsid w:val="003229B5"/>
    <w:rsid w:val="00330905"/>
    <w:rsid w:val="00331A6F"/>
    <w:rsid w:val="003357A9"/>
    <w:rsid w:val="0035532C"/>
    <w:rsid w:val="00385A87"/>
    <w:rsid w:val="003C2B45"/>
    <w:rsid w:val="0046375F"/>
    <w:rsid w:val="00467B19"/>
    <w:rsid w:val="0047155E"/>
    <w:rsid w:val="004836C1"/>
    <w:rsid w:val="00490D0A"/>
    <w:rsid w:val="004B2B01"/>
    <w:rsid w:val="004C74CC"/>
    <w:rsid w:val="00511E9B"/>
    <w:rsid w:val="00536A9A"/>
    <w:rsid w:val="00577D53"/>
    <w:rsid w:val="005823C4"/>
    <w:rsid w:val="00593A32"/>
    <w:rsid w:val="00681706"/>
    <w:rsid w:val="006B5880"/>
    <w:rsid w:val="006D5FFB"/>
    <w:rsid w:val="006E176C"/>
    <w:rsid w:val="006E3DF4"/>
    <w:rsid w:val="00707A8E"/>
    <w:rsid w:val="00742BA0"/>
    <w:rsid w:val="00783B82"/>
    <w:rsid w:val="00797D00"/>
    <w:rsid w:val="007A53F2"/>
    <w:rsid w:val="007C3E75"/>
    <w:rsid w:val="007E7837"/>
    <w:rsid w:val="00827D17"/>
    <w:rsid w:val="008322DA"/>
    <w:rsid w:val="00841F10"/>
    <w:rsid w:val="008528BF"/>
    <w:rsid w:val="008777DE"/>
    <w:rsid w:val="00895195"/>
    <w:rsid w:val="008C273A"/>
    <w:rsid w:val="008C3A30"/>
    <w:rsid w:val="00987F53"/>
    <w:rsid w:val="009A042A"/>
    <w:rsid w:val="009D0259"/>
    <w:rsid w:val="009D0D7E"/>
    <w:rsid w:val="009D42A4"/>
    <w:rsid w:val="009E3540"/>
    <w:rsid w:val="00A006EC"/>
    <w:rsid w:val="00A26F74"/>
    <w:rsid w:val="00A86147"/>
    <w:rsid w:val="00AD36E6"/>
    <w:rsid w:val="00AD43DB"/>
    <w:rsid w:val="00AF7735"/>
    <w:rsid w:val="00B23A5C"/>
    <w:rsid w:val="00B30F90"/>
    <w:rsid w:val="00B3693E"/>
    <w:rsid w:val="00B42D55"/>
    <w:rsid w:val="00B967D4"/>
    <w:rsid w:val="00BA0D87"/>
    <w:rsid w:val="00C0375E"/>
    <w:rsid w:val="00C31AD9"/>
    <w:rsid w:val="00C446AF"/>
    <w:rsid w:val="00C71F91"/>
    <w:rsid w:val="00CC63F9"/>
    <w:rsid w:val="00CF074E"/>
    <w:rsid w:val="00D04C5C"/>
    <w:rsid w:val="00D601FA"/>
    <w:rsid w:val="00D63FF0"/>
    <w:rsid w:val="00D726B9"/>
    <w:rsid w:val="00D83B3F"/>
    <w:rsid w:val="00DA44A0"/>
    <w:rsid w:val="00DB4F17"/>
    <w:rsid w:val="00DC52A7"/>
    <w:rsid w:val="00DF2315"/>
    <w:rsid w:val="00E16E9F"/>
    <w:rsid w:val="00E240FC"/>
    <w:rsid w:val="00E45CE1"/>
    <w:rsid w:val="00E570BE"/>
    <w:rsid w:val="00E77655"/>
    <w:rsid w:val="00E83A79"/>
    <w:rsid w:val="00E93EEF"/>
    <w:rsid w:val="00F11C44"/>
    <w:rsid w:val="00F50E98"/>
    <w:rsid w:val="00F72B4B"/>
    <w:rsid w:val="00F844A7"/>
    <w:rsid w:val="00FC7C5F"/>
    <w:rsid w:val="00FE5A71"/>
    <w:rsid w:val="00FF694B"/>
    <w:rsid w:val="00FF73CC"/>
    <w:rsid w:val="00FF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A71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83B3F"/>
    <w:rPr>
      <w:rFonts w:cs="Times New Roman"/>
    </w:rPr>
  </w:style>
  <w:style w:type="paragraph" w:styleId="a5">
    <w:name w:val="footer"/>
    <w:basedOn w:val="a"/>
    <w:link w:val="a6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83B3F"/>
    <w:rPr>
      <w:rFonts w:cs="Times New Roman"/>
    </w:rPr>
  </w:style>
  <w:style w:type="character" w:customStyle="1" w:styleId="rvts9">
    <w:name w:val="rvts9"/>
    <w:uiPriority w:val="99"/>
    <w:rsid w:val="00A26F74"/>
  </w:style>
  <w:style w:type="character" w:customStyle="1" w:styleId="rvts44">
    <w:name w:val="rvts44"/>
    <w:basedOn w:val="a0"/>
    <w:rsid w:val="009E3540"/>
  </w:style>
  <w:style w:type="character" w:styleId="a7">
    <w:name w:val="annotation reference"/>
    <w:basedOn w:val="a0"/>
    <w:uiPriority w:val="99"/>
    <w:semiHidden/>
    <w:unhideWhenUsed/>
    <w:rsid w:val="009A042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A042A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A042A"/>
    <w:rPr>
      <w:lang w:val="uk-UA" w:eastAsia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A042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A042A"/>
    <w:rPr>
      <w:b/>
      <w:bCs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6D5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5FFB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Knignicka</dc:creator>
  <cp:keywords/>
  <dc:description/>
  <cp:lastModifiedBy>krizhanivska</cp:lastModifiedBy>
  <cp:revision>11</cp:revision>
  <cp:lastPrinted>2019-11-23T17:47:00Z</cp:lastPrinted>
  <dcterms:created xsi:type="dcterms:W3CDTF">2021-04-06T11:42:00Z</dcterms:created>
  <dcterms:modified xsi:type="dcterms:W3CDTF">2021-04-08T12:10:00Z</dcterms:modified>
</cp:coreProperties>
</file>