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1B7B" w:rsidRDefault="00873F6B">
      <w:pPr>
        <w:spacing w:after="50"/>
        <w:ind w:left="12336"/>
      </w:pPr>
      <w:r>
        <w:rPr>
          <w:rFonts w:ascii="Times New Roman" w:eastAsia="Times New Roman" w:hAnsi="Times New Roman" w:cs="Times New Roman"/>
          <w:sz w:val="28"/>
        </w:rPr>
        <w:t xml:space="preserve">Додаток 2 </w:t>
      </w:r>
    </w:p>
    <w:p w:rsidR="00511B7B" w:rsidRDefault="00873F6B">
      <w:pPr>
        <w:pStyle w:val="1"/>
        <w:ind w:left="10" w:right="1883"/>
      </w:pPr>
      <w:r>
        <w:t xml:space="preserve">до Програми </w:t>
      </w:r>
    </w:p>
    <w:p w:rsidR="00511B7B" w:rsidRDefault="00873F6B">
      <w:pPr>
        <w:spacing w:after="5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 редакції рішення обласної ради</w:t>
      </w:r>
    </w:p>
    <w:p w:rsidR="00ED6A35" w:rsidRPr="00ED6A35" w:rsidRDefault="00ED6A35" w:rsidP="00ED6A35">
      <w:pPr>
        <w:spacing w:after="52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26</w:t>
      </w:r>
      <w:r>
        <w:rPr>
          <w:rFonts w:ascii="Times New Roman" w:hAnsi="Times New Roman" w:cs="Times New Roman"/>
          <w:sz w:val="28"/>
          <w:szCs w:val="28"/>
        </w:rPr>
        <w:t>.05.2023 № 19-17/</w:t>
      </w:r>
      <w:r>
        <w:rPr>
          <w:rFonts w:ascii="Times New Roman" w:hAnsi="Times New Roman" w:cs="Times New Roman"/>
          <w:sz w:val="28"/>
          <w:szCs w:val="28"/>
          <w:lang w:val="en-US"/>
        </w:rPr>
        <w:t>VIII)</w:t>
      </w:r>
    </w:p>
    <w:p w:rsidR="00873F6B" w:rsidRDefault="00873F6B">
      <w:pPr>
        <w:spacing w:after="52"/>
        <w:jc w:val="right"/>
      </w:pPr>
    </w:p>
    <w:p w:rsidR="00873F6B" w:rsidRDefault="00873F6B">
      <w:pPr>
        <w:spacing w:after="52"/>
        <w:jc w:val="right"/>
      </w:pPr>
    </w:p>
    <w:p w:rsidR="00511B7B" w:rsidRDefault="00873F6B">
      <w:pPr>
        <w:spacing w:after="15" w:line="271" w:lineRule="auto"/>
        <w:ind w:left="7465" w:right="207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Заходи </w:t>
      </w:r>
    </w:p>
    <w:p w:rsidR="00511B7B" w:rsidRDefault="00873F6B">
      <w:pPr>
        <w:spacing w:after="15" w:line="271" w:lineRule="auto"/>
        <w:ind w:left="5149" w:right="2070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до комплексної програми функціонування  </w:t>
      </w:r>
    </w:p>
    <w:p w:rsidR="00511B7B" w:rsidRDefault="00873F6B">
      <w:pPr>
        <w:spacing w:after="15" w:line="271" w:lineRule="auto"/>
        <w:ind w:left="2261" w:right="2070" w:firstLine="862"/>
      </w:pPr>
      <w:r>
        <w:rPr>
          <w:rFonts w:ascii="Times New Roman" w:eastAsia="Times New Roman" w:hAnsi="Times New Roman" w:cs="Times New Roman"/>
          <w:b/>
          <w:sz w:val="28"/>
        </w:rPr>
        <w:t xml:space="preserve">та розвитку системи цивільного захисту області, створення регіонального  матеріально-технічного резерву щодо попередження і ліквідації надзвичайних ситуацій  у мирний час та особливий період на 2023 – 2027 роки </w:t>
      </w:r>
    </w:p>
    <w:p w:rsidR="00511B7B" w:rsidRDefault="00511B7B">
      <w:pPr>
        <w:spacing w:after="0"/>
        <w:ind w:left="7851"/>
      </w:pPr>
    </w:p>
    <w:tbl>
      <w:tblPr>
        <w:tblStyle w:val="TableGrid"/>
        <w:tblW w:w="15170" w:type="dxa"/>
        <w:tblInd w:w="283" w:type="dxa"/>
        <w:tblCellMar>
          <w:top w:w="1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9"/>
        <w:gridCol w:w="5670"/>
        <w:gridCol w:w="6097"/>
        <w:gridCol w:w="2834"/>
      </w:tblGrid>
      <w:tr w:rsidR="00511B7B">
        <w:trPr>
          <w:trHeight w:val="108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spacing w:after="15"/>
              <w:ind w:left="6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511B7B" w:rsidRDefault="00873F6B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з/п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Назва заходу програми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Перелік завдань та напрямки використання бюджетних коштів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Джерела фінансування </w:t>
            </w:r>
          </w:p>
        </w:tc>
      </w:tr>
      <w:tr w:rsidR="00511B7B">
        <w:trPr>
          <w:trHeight w:val="32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11B7B">
        <w:trPr>
          <w:trHeight w:val="139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spacing w:after="47" w:line="238" w:lineRule="auto"/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надійного і сталого функціонування територіальної автоматизованої системи централізованого оповіщення про загрозу </w:t>
            </w:r>
          </w:p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виникнення або виникнення надзвичайних ситуацій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Розробка нового робочого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територіальної автоматизованої системи централізованого оповіщення Черкаської області, експлуатаційно-технічного обслуговування апаратури та інших технічних засобів оповіщення і зв’язку цивільного захисту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бюджети, інші джерела </w:t>
            </w:r>
          </w:p>
        </w:tc>
      </w:tr>
      <w:tr w:rsidR="00511B7B">
        <w:trPr>
          <w:trHeight w:val="13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1B7B" w:rsidRDefault="00511B7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1B7B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Експлуатаційно-технічне обслуговування та ремонт обладнання  та інших технічних засобів оповіщення та зв’язку цивільного захисту та обладнання територіальної автоматизованої системи централізованого оповіщення Черкаської області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бюджети, інші джерела </w:t>
            </w:r>
          </w:p>
        </w:tc>
      </w:tr>
      <w:tr w:rsidR="00511B7B">
        <w:trPr>
          <w:trHeight w:val="9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1B7B" w:rsidRDefault="00511B7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1B7B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spacing w:after="46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Користування каналами зв’язку телекомунікаційної мережі для забезпечення оповіщення та зв’язку </w:t>
            </w:r>
          </w:p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цивільного захисту в області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бюджети, інші джерела </w:t>
            </w:r>
          </w:p>
        </w:tc>
      </w:tr>
      <w:tr w:rsidR="00511B7B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послуг операторам мобільного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інтернетзв’язку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бюджети, інші джерела </w:t>
            </w:r>
          </w:p>
        </w:tc>
      </w:tr>
    </w:tbl>
    <w:p w:rsidR="00511B7B" w:rsidRDefault="00873F6B">
      <w:pPr>
        <w:spacing w:after="161"/>
        <w:ind w:right="7868"/>
        <w:jc w:val="right"/>
      </w:pPr>
      <w:r>
        <w:t xml:space="preserve">2 </w:t>
      </w:r>
    </w:p>
    <w:p w:rsidR="00511B7B" w:rsidRDefault="00511B7B">
      <w:pPr>
        <w:spacing w:after="0"/>
      </w:pPr>
    </w:p>
    <w:tbl>
      <w:tblPr>
        <w:tblStyle w:val="TableGrid"/>
        <w:tblW w:w="15170" w:type="dxa"/>
        <w:tblInd w:w="283" w:type="dxa"/>
        <w:tblCellMar>
          <w:top w:w="14" w:type="dxa"/>
          <w:left w:w="108" w:type="dxa"/>
        </w:tblCellMar>
        <w:tblLook w:val="04A0" w:firstRow="1" w:lastRow="0" w:firstColumn="1" w:lastColumn="0" w:noHBand="0" w:noVBand="1"/>
      </w:tblPr>
      <w:tblGrid>
        <w:gridCol w:w="569"/>
        <w:gridCol w:w="5670"/>
        <w:gridCol w:w="6097"/>
        <w:gridCol w:w="2834"/>
      </w:tblGrid>
      <w:tr w:rsidR="00511B7B">
        <w:trPr>
          <w:trHeight w:val="1666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spacing w:after="12" w:line="268" w:lineRule="auto"/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послуг оренди (суборенди), оплата комунальних послуг  у приміщеннях для службового користування та у приміщеннях на території яких розміщена апаратура,  інші технічні засоби оповіщення і зв’язку цивільного захисту, міського та позаміського пунктів управління </w:t>
            </w:r>
          </w:p>
          <w:p w:rsidR="00FE37DD" w:rsidRDefault="00873F6B" w:rsidP="00FE37DD">
            <w:r>
              <w:rPr>
                <w:rFonts w:ascii="Times New Roman" w:eastAsia="Times New Roman" w:hAnsi="Times New Roman" w:cs="Times New Roman"/>
                <w:sz w:val="24"/>
              </w:rPr>
              <w:t xml:space="preserve">Черкаської обласної державної адміністрації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бюджети, інші джерела </w:t>
            </w:r>
          </w:p>
        </w:tc>
      </w:tr>
      <w:tr w:rsidR="00511B7B">
        <w:trPr>
          <w:trHeight w:val="3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spacing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Проведення робіт з підключення до Національної телекомунікаційної мережі, а саме: </w:t>
            </w:r>
          </w:p>
          <w:p w:rsidR="00511B7B" w:rsidRDefault="00873F6B">
            <w:pPr>
              <w:spacing w:after="1" w:line="27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проектування волокно-оптичної лінії зв’язку; будівельно-монтажні роботи; </w:t>
            </w:r>
          </w:p>
          <w:p w:rsidR="00511B7B" w:rsidRDefault="00873F6B">
            <w:pPr>
              <w:spacing w:after="35" w:line="248" w:lineRule="auto"/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заходи з розробки та видачі технічних умов, креслення детальної схеми прокладання кабелю в кабельній каналізації електрозв’язку (далі-ККЕ), погодження робочого проекту, надання місця в ККЕ, послуги з бронювання ККЕ, послуги з використання ККЕ, </w:t>
            </w:r>
          </w:p>
          <w:p w:rsidR="00FE37DD" w:rsidRDefault="00873F6B" w:rsidP="00FE37DD">
            <w:pPr>
              <w:ind w:right="157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технічний нагляд постачальника ККЕ; здійснення технічного нагляду; здійснення авторського нагляду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бюджети, інші джерела </w:t>
            </w:r>
          </w:p>
        </w:tc>
      </w:tr>
      <w:tr w:rsidR="00511B7B">
        <w:trPr>
          <w:trHeight w:val="145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10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Створення регіонального матеріально-технічного резерву області для попередження і ліквідації надзвичайних ситуацій техногенного і природного характеру та їх наслідків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DD" w:rsidRDefault="00873F6B" w:rsidP="00FE37DD">
            <w:pPr>
              <w:spacing w:line="279" w:lineRule="auto"/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Придбання засобів радіаційного, хімічного та біологічного захисту, енергопостачання,  </w:t>
            </w:r>
            <w:r w:rsidR="00FE37DD">
              <w:rPr>
                <w:rFonts w:ascii="Times New Roman" w:eastAsia="Times New Roman" w:hAnsi="Times New Roman" w:cs="Times New Roman"/>
                <w:sz w:val="24"/>
              </w:rPr>
              <w:t>загальногосподарського призначення, пально-</w:t>
            </w:r>
          </w:p>
          <w:p w:rsidR="00511B7B" w:rsidRDefault="00FE37DD" w:rsidP="00FE37DD">
            <w:pPr>
              <w:spacing w:line="279" w:lineRule="auto"/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мастильних матеріалів,забезпечення проведення аварійно-рятувальних робіт, забезпечення місць обігріву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Місцевий бюджет, інші джерела </w:t>
            </w:r>
          </w:p>
        </w:tc>
      </w:tr>
      <w:tr w:rsidR="00511B7B">
        <w:trPr>
          <w:trHeight w:val="562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1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надійного і сталого функціонування територіальної підсистеми єдиної державної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системи цивільного захисту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Інструментальний контроль захищеності інформації на спеціально захищеному персональному комп’ютері 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місцеві бюджети </w:t>
            </w:r>
          </w:p>
        </w:tc>
      </w:tr>
      <w:tr w:rsidR="00511B7B">
        <w:trPr>
          <w:trHeight w:val="19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Планування та організація роботи з дообладнання захисних споруд, спорудження підвальних та інших заглиблених приміщень, придбання, монтаж, встановлення  та утримання спеціальних конструкцій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швидкоспоруджувальних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захисних споруд, фортифікаційних споруд, зокрема блоків модульного типу готових до монтажу та використання. Розробка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місцеві бюджети </w:t>
            </w:r>
          </w:p>
        </w:tc>
      </w:tr>
    </w:tbl>
    <w:p w:rsidR="00511B7B" w:rsidRDefault="00873F6B">
      <w:pPr>
        <w:spacing w:after="161"/>
        <w:ind w:right="71"/>
        <w:jc w:val="center"/>
      </w:pPr>
      <w:r>
        <w:t xml:space="preserve">3 </w:t>
      </w:r>
    </w:p>
    <w:p w:rsidR="00511B7B" w:rsidRDefault="00511B7B">
      <w:pPr>
        <w:spacing w:after="0"/>
      </w:pPr>
    </w:p>
    <w:tbl>
      <w:tblPr>
        <w:tblStyle w:val="TableGrid"/>
        <w:tblW w:w="15170" w:type="dxa"/>
        <w:tblInd w:w="283" w:type="dxa"/>
        <w:tblCellMar>
          <w:top w:w="1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9"/>
        <w:gridCol w:w="5670"/>
        <w:gridCol w:w="6097"/>
        <w:gridCol w:w="2834"/>
      </w:tblGrid>
      <w:tr w:rsidR="00511B7B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проектно-кошторисної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документації,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проведення експертизи щодо зазначених споруд.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511B7B"/>
        </w:tc>
      </w:tr>
      <w:tr w:rsidR="00511B7B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5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надійного і сталого функціонування територіальної підсистеми єдиної державної системи цивільного захисту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Інструментальний контроль захищеності інформації на спеціально захищеному персональному комп’ютері 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 </w:t>
            </w:r>
          </w:p>
        </w:tc>
      </w:tr>
      <w:tr w:rsidR="00511B7B">
        <w:trPr>
          <w:trHeight w:val="19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Матеріально-технічне забезпечення регіональної  комісії з питань техногенно-екологічної безпеки та надзвичайних ситуацій та штабу з ліквідації наслідків надзвичайних ситуацій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Придбання організаційно технічних пристроїв (оргтехніки);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електрофурнітури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намету з обігрівом та кондиціонером; розкладних меблів; автомобіля вантажопасажирського; автомобіля підвищеної прохідності; портативних зарядних пристроїв (типу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Bank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); генераторів; кабелю освітлювального; вогнегасників; ручного інструменту; джерела безперебійного живлення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бюджети, інші джерела </w:t>
            </w:r>
          </w:p>
        </w:tc>
      </w:tr>
      <w:tr w:rsidR="00511B7B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Матеріально-технічне забезпечення діяльності міського та позаміського пунктів управління Черкаської обласної державної адміністрації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tabs>
                <w:tab w:val="center" w:pos="2279"/>
                <w:tab w:val="center" w:pos="3928"/>
                <w:tab w:val="right" w:pos="5941"/>
              </w:tabs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Придбання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організаційно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технічних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пристроїв </w:t>
            </w:r>
          </w:p>
          <w:p w:rsidR="00511B7B" w:rsidRDefault="00873F6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(оргтехніки); побутової техніки; джерела безперебійного живлення; меблів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бюджети, інші джерела </w:t>
            </w:r>
          </w:p>
        </w:tc>
      </w:tr>
      <w:tr w:rsidR="00511B7B">
        <w:trPr>
          <w:trHeight w:val="8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Підтримання життєзабезпечення населення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Будівництво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розвідувально-експлуатаційної свердловини для потреб населення (для забезпечення водою)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Default="00873F6B">
            <w:r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місцевий бюджети, інші джерела </w:t>
            </w:r>
          </w:p>
        </w:tc>
      </w:tr>
    </w:tbl>
    <w:p w:rsidR="00511B7B" w:rsidRDefault="00511B7B">
      <w:pPr>
        <w:spacing w:after="156"/>
      </w:pPr>
    </w:p>
    <w:p w:rsidR="00511B7B" w:rsidRDefault="00511B7B">
      <w:pPr>
        <w:spacing w:after="223"/>
      </w:pPr>
    </w:p>
    <w:p w:rsidR="00511B7B" w:rsidRDefault="00873F6B">
      <w:pPr>
        <w:pStyle w:val="1"/>
        <w:spacing w:after="119"/>
        <w:ind w:left="10" w:right="3068"/>
      </w:pPr>
      <w:r>
        <w:t xml:space="preserve">Заступник керуючого справами                                                                                            Наталія ГОРНА </w:t>
      </w:r>
    </w:p>
    <w:p w:rsidR="00511B7B" w:rsidRDefault="00511B7B">
      <w:pPr>
        <w:spacing w:after="0"/>
      </w:pPr>
    </w:p>
    <w:sectPr w:rsidR="00511B7B" w:rsidSect="00E616DF">
      <w:pgSz w:w="16838" w:h="11906" w:orient="landscape"/>
      <w:pgMar w:top="751" w:right="496" w:bottom="1253" w:left="566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B7B"/>
    <w:rsid w:val="00511B7B"/>
    <w:rsid w:val="00873F6B"/>
    <w:rsid w:val="00E616DF"/>
    <w:rsid w:val="00ED6A35"/>
    <w:rsid w:val="00F942D7"/>
    <w:rsid w:val="00FE3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356E"/>
  <w15:docId w15:val="{9210AD44-BEB5-4AF8-BB3D-213DF184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6DF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E616DF"/>
    <w:pPr>
      <w:keepNext/>
      <w:keepLines/>
      <w:spacing w:after="0"/>
      <w:ind w:left="12346" w:hanging="10"/>
      <w:jc w:val="right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16DF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E616D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3302</Words>
  <Characters>1883</Characters>
  <Application>Microsoft Office Word</Application>
  <DocSecurity>0</DocSecurity>
  <Lines>15</Lines>
  <Paragraphs>10</Paragraphs>
  <ScaleCrop>false</ScaleCrop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 Філіпенко</dc:creator>
  <cp:keywords/>
  <cp:lastModifiedBy>123</cp:lastModifiedBy>
  <cp:revision>6</cp:revision>
  <cp:lastPrinted>2023-06-06T08:41:00Z</cp:lastPrinted>
  <dcterms:created xsi:type="dcterms:W3CDTF">2023-05-11T11:26:00Z</dcterms:created>
  <dcterms:modified xsi:type="dcterms:W3CDTF">2023-06-06T08:41:00Z</dcterms:modified>
</cp:coreProperties>
</file>