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7C" w:rsidRPr="00073C7C" w:rsidRDefault="00073C7C" w:rsidP="00073C7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073C7C" w:rsidRPr="00073C7C" w:rsidRDefault="00073C7C" w:rsidP="00073C7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73C7C" w:rsidRPr="00073C7C" w:rsidRDefault="00073C7C" w:rsidP="00073C7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 </w:t>
      </w:r>
    </w:p>
    <w:p w:rsidR="00073C7C" w:rsidRPr="00073C7C" w:rsidRDefault="00073C7C" w:rsidP="00073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073C7C" w:rsidRPr="00073C7C" w:rsidRDefault="00073C7C" w:rsidP="00073C7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73C7C" w:rsidRPr="00073C7C" w:rsidRDefault="00073C7C" w:rsidP="00073C7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73C7C" w:rsidRPr="00073C7C" w:rsidRDefault="00073C7C" w:rsidP="00073C7C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73C7C">
        <w:rPr>
          <w:rFonts w:ascii="Times New Roman" w:hAnsi="Times New Roman" w:cs="Times New Roman"/>
          <w:sz w:val="28"/>
          <w:szCs w:val="28"/>
          <w:u w:val="single"/>
          <w:lang w:val="uk-UA"/>
        </w:rPr>
        <w:t>03.10.2016</w:t>
      </w: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proofErr w:type="spellStart"/>
      <w:r w:rsidRPr="00073C7C">
        <w:rPr>
          <w:rFonts w:ascii="Times New Roman" w:hAnsi="Times New Roman" w:cs="Times New Roman"/>
          <w:sz w:val="28"/>
          <w:szCs w:val="28"/>
          <w:lang w:val="uk-UA"/>
        </w:rPr>
        <w:t>м.Черкаси</w:t>
      </w:r>
      <w:proofErr w:type="spellEnd"/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073C7C">
        <w:rPr>
          <w:rFonts w:ascii="Times New Roman" w:hAnsi="Times New Roman" w:cs="Times New Roman"/>
          <w:sz w:val="28"/>
          <w:szCs w:val="28"/>
          <w:u w:val="single"/>
          <w:lang w:val="uk-UA"/>
        </w:rPr>
        <w:t>№ 6/5</w:t>
      </w: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211"/>
      </w:tblGrid>
      <w:tr w:rsidR="00073C7C" w:rsidRPr="00073C7C" w:rsidTr="00627B48">
        <w:tc>
          <w:tcPr>
            <w:tcW w:w="5211" w:type="dxa"/>
            <w:shd w:val="clear" w:color="auto" w:fill="auto"/>
          </w:tcPr>
          <w:p w:rsidR="00073C7C" w:rsidRPr="00073C7C" w:rsidRDefault="00073C7C" w:rsidP="00073C7C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073C7C">
              <w:rPr>
                <w:szCs w:val="28"/>
                <w:lang w:val="uk-UA"/>
              </w:rPr>
              <w:t xml:space="preserve">Про передачу майна комунальної </w:t>
            </w:r>
          </w:p>
          <w:p w:rsidR="00073C7C" w:rsidRPr="00073C7C" w:rsidRDefault="00073C7C" w:rsidP="00073C7C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073C7C">
              <w:rPr>
                <w:szCs w:val="28"/>
                <w:lang w:val="uk-UA"/>
              </w:rPr>
              <w:t>власності</w:t>
            </w:r>
          </w:p>
        </w:tc>
      </w:tr>
    </w:tbl>
    <w:p w:rsidR="00073C7C" w:rsidRPr="00073C7C" w:rsidRDefault="00073C7C" w:rsidP="00073C7C">
      <w:pPr>
        <w:spacing w:after="0" w:line="240" w:lineRule="auto"/>
        <w:ind w:left="709"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C7C" w:rsidRPr="00073C7C" w:rsidRDefault="00073C7C" w:rsidP="00073C7C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right="-391"/>
        <w:jc w:val="both"/>
        <w:rPr>
          <w:szCs w:val="28"/>
          <w:lang w:val="uk-UA"/>
        </w:rPr>
      </w:pPr>
      <w:r w:rsidRPr="00073C7C">
        <w:rPr>
          <w:bCs/>
          <w:iCs/>
          <w:szCs w:val="28"/>
          <w:lang w:val="uk-UA"/>
        </w:rPr>
        <w:tab/>
        <w:t xml:space="preserve">Відповідно до статті 47 Закону України </w:t>
      </w:r>
      <w:r w:rsidRPr="00073C7C">
        <w:rPr>
          <w:szCs w:val="28"/>
          <w:lang w:val="uk-UA"/>
        </w:rPr>
        <w:t>«</w:t>
      </w:r>
      <w:r w:rsidRPr="00073C7C">
        <w:rPr>
          <w:bCs/>
          <w:iCs/>
          <w:szCs w:val="28"/>
          <w:lang w:val="uk-UA"/>
        </w:rPr>
        <w:t>Про місцеве самоврядування в Україні</w:t>
      </w:r>
      <w:r w:rsidRPr="00073C7C">
        <w:rPr>
          <w:szCs w:val="28"/>
          <w:lang w:val="uk-UA"/>
        </w:rPr>
        <w:t>»</w:t>
      </w:r>
      <w:r w:rsidRPr="00073C7C">
        <w:rPr>
          <w:bCs/>
          <w:iCs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073C7C">
        <w:rPr>
          <w:szCs w:val="28"/>
          <w:lang w:val="uk-UA"/>
        </w:rPr>
        <w:t>.02.2016 № 3-3/</w:t>
      </w:r>
      <w:r w:rsidRPr="00073C7C">
        <w:rPr>
          <w:szCs w:val="28"/>
          <w:lang w:val="en-US"/>
        </w:rPr>
        <w:t>V</w:t>
      </w:r>
      <w:r w:rsidRPr="00073C7C">
        <w:rPr>
          <w:szCs w:val="28"/>
          <w:lang w:val="uk-UA"/>
        </w:rPr>
        <w:t>І</w:t>
      </w:r>
      <w:r w:rsidRPr="00073C7C">
        <w:rPr>
          <w:szCs w:val="28"/>
          <w:lang w:val="en-US"/>
        </w:rPr>
        <w:t>I</w:t>
      </w:r>
      <w:r w:rsidRPr="00073C7C">
        <w:rPr>
          <w:szCs w:val="28"/>
          <w:lang w:val="uk-UA"/>
        </w:rPr>
        <w:t xml:space="preserve">, постійна </w:t>
      </w:r>
      <w:r w:rsidR="00A367E1">
        <w:rPr>
          <w:szCs w:val="28"/>
          <w:lang w:val="uk-UA"/>
        </w:rPr>
        <w:t xml:space="preserve">комісія з питань </w:t>
      </w:r>
      <w:r w:rsidRPr="00073C7C">
        <w:rPr>
          <w:szCs w:val="28"/>
          <w:lang w:val="uk-UA"/>
        </w:rPr>
        <w:t>комунальної власності, підприємництва та регуляторної політики розглянула проект рішення обласної ради «Про передачу майна комунальної  власності».</w:t>
      </w:r>
    </w:p>
    <w:p w:rsidR="00073C7C" w:rsidRPr="00073C7C" w:rsidRDefault="00073C7C" w:rsidP="00073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073C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 w:rsidRPr="00073C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 вирішила:</w:t>
      </w:r>
    </w:p>
    <w:p w:rsidR="00073C7C" w:rsidRPr="00F95EFB" w:rsidRDefault="00073C7C" w:rsidP="00073C7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Підтримати </w:t>
      </w:r>
      <w:r w:rsidRPr="00073C7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proofErr w:type="spellStart"/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ради, Департаменту містобудування, архітектури, будівництва та житлово-комунального господарства Черкаської обласної державної адміністрації, управління охорони здоров’я Черкаської обласної державної адміністрації,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Черкаський обласний  онкологічний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диспансер»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ради, </w:t>
      </w:r>
      <w:proofErr w:type="spellStart"/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центральної районної лікарні,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proofErr w:type="spellStart"/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еркасиоблкіно</w:t>
      </w:r>
      <w:proofErr w:type="spellEnd"/>
      <w:r w:rsidR="00F95E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ради,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Черкаська обласна л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>ікарня Черкаської обласної ради»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, Черкаського обласного кардіологічного центру, Черкаського обласного дитячого багато</w:t>
      </w:r>
      <w:r w:rsidR="008B33DF">
        <w:rPr>
          <w:rFonts w:ascii="Times New Roman" w:hAnsi="Times New Roman" w:cs="Times New Roman"/>
          <w:sz w:val="28"/>
          <w:szCs w:val="28"/>
          <w:lang w:val="uk-UA"/>
        </w:rPr>
        <w:t>профільного санаторію «Сосновий бір»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EFB">
        <w:rPr>
          <w:rFonts w:ascii="Times New Roman" w:hAnsi="Times New Roman" w:cs="Times New Roman"/>
          <w:bCs/>
          <w:sz w:val="28"/>
          <w:szCs w:val="28"/>
          <w:lang w:val="uk-UA"/>
        </w:rPr>
        <w:t>щодо передачі майна комунальної власності</w:t>
      </w:r>
      <w:r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F95E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проект рішення</w:t>
      </w:r>
      <w:r w:rsidRPr="00F95EFB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ради.</w:t>
      </w:r>
    </w:p>
    <w:p w:rsidR="00073C7C" w:rsidRPr="00073C7C" w:rsidRDefault="00073C7C" w:rsidP="00073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bCs/>
          <w:sz w:val="28"/>
          <w:szCs w:val="28"/>
          <w:lang w:val="uk-UA"/>
        </w:rPr>
        <w:t>2. Р</w:t>
      </w:r>
      <w:r w:rsidRPr="00073C7C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«Про передачу майна комунальної  власності» на сесії обласної ради.</w:t>
      </w:r>
    </w:p>
    <w:p w:rsidR="00073C7C" w:rsidRPr="00073C7C" w:rsidRDefault="00073C7C" w:rsidP="00073C7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sz w:val="28"/>
          <w:szCs w:val="28"/>
          <w:lang w:val="uk-UA"/>
        </w:rPr>
        <w:t>3. Пропонувати депутатам підтримати проект рішення.</w:t>
      </w: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073C7C" w:rsidRPr="00073C7C" w:rsidRDefault="00073C7C" w:rsidP="00073C7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073C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073C7C" w:rsidRPr="00073C7C" w:rsidRDefault="00073C7C" w:rsidP="00073C7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033C" w:rsidRPr="00073C7C" w:rsidRDefault="006A033C" w:rsidP="00073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033C" w:rsidRPr="00073C7C" w:rsidSect="0086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3C7C"/>
    <w:rsid w:val="00073C7C"/>
    <w:rsid w:val="006816BC"/>
    <w:rsid w:val="006A033C"/>
    <w:rsid w:val="00866F64"/>
    <w:rsid w:val="008B33DF"/>
    <w:rsid w:val="00A367E1"/>
    <w:rsid w:val="00F9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3C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73C7C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 Знак Знак Знак Знак Знак Знак Знак Знак"/>
    <w:basedOn w:val="a"/>
    <w:rsid w:val="00F95EF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2016-10-04T06:54:00Z</dcterms:created>
  <dcterms:modified xsi:type="dcterms:W3CDTF">2016-10-17T09:23:00Z</dcterms:modified>
</cp:coreProperties>
</file>