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tbl>
      <w:tblPr>
        <w:tblStyle w:val="a3"/>
        <w:tblW w:w="0" w:type="auto"/>
        <w:tblInd w:w="6204" w:type="dxa"/>
        <w:tblLook w:val="04A0"/>
      </w:tblPr>
      <w:tblGrid>
        <w:gridCol w:w="3651"/>
      </w:tblGrid>
      <w:tr w:rsidR="00FF6A6F" w:rsidTr="00FF6A6F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FF6A6F" w:rsidRPr="00FF6A6F" w:rsidRDefault="00FF6A6F" w:rsidP="00FF6A6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F6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Додаток</w:t>
            </w:r>
          </w:p>
          <w:p w:rsidR="00FF6A6F" w:rsidRDefault="00FF6A6F" w:rsidP="00FF6A6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F6A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до рішення обласної ради</w:t>
            </w:r>
          </w:p>
          <w:p w:rsidR="00FF6A6F" w:rsidRDefault="00FF6A6F" w:rsidP="00FF6A6F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                              №</w:t>
            </w:r>
          </w:p>
        </w:tc>
      </w:tr>
    </w:tbl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uk-UA"/>
        </w:rPr>
      </w:pPr>
    </w:p>
    <w:p w:rsidR="00FF6A6F" w:rsidRPr="00FF6A6F" w:rsidRDefault="00FF6A6F" w:rsidP="00FF6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Звернення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депутатів Черкаської обласної ради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Голови Верховної Ради України,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народних депутатів України, голови Черкаської обласної державної адміністрації</w:t>
      </w:r>
    </w:p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p w:rsidR="00FF6A6F" w:rsidRDefault="00FF6A6F" w:rsidP="00FF6A6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uk-UA"/>
        </w:rPr>
      </w:pPr>
    </w:p>
    <w:p w:rsid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Цивілізований ринок землі потрібен країні, але необхідно внести правки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щоб виправити помилки прийнятого Слугами у </w:t>
      </w:r>
      <w:proofErr w:type="spellStart"/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турборежимі</w:t>
      </w:r>
      <w:proofErr w:type="spellEnd"/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законопроекту. </w:t>
      </w:r>
    </w:p>
    <w:p w:rsidR="00FF6A6F" w:rsidRP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Головними змінами, яких потребує законопроект є:</w:t>
      </w:r>
    </w:p>
    <w:p w:rsidR="00FF6A6F" w:rsidRP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Недопущення використання ринку землі російським агресором;</w:t>
      </w:r>
    </w:p>
    <w:p w:rsidR="00FF6A6F" w:rsidRP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Попередження концентрації земель в одних руках;</w:t>
      </w:r>
    </w:p>
    <w:p w:rsidR="00FF6A6F" w:rsidRP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Захист українських селян і фермерських господарств.</w:t>
      </w:r>
    </w:p>
    <w:p w:rsid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F6A6F" w:rsidRP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Пропозиції для недопущення використання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инку землі російським агресором: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• Передбачається набуття чинності цим законом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1.01.2021, з мораторієм для іноземних громадян (і юридичних осіб за їх участі)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1.01.2026. Після закінчення цього терміну має бути встановлена спеціальна конституційна процедура для продажу сільськогосподарської землі іноземцям, яка передбачить захист інтересів України і її громадян.</w:t>
      </w:r>
    </w:p>
    <w:p w:rsid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• При цьому вноситься окрема безстрокова заборона на купівлю сільськогосподарської землі для громадян РФ і юридичних осіб за їх участі, а також суб’єктів, де неможливо встановити </w:t>
      </w:r>
      <w:proofErr w:type="spellStart"/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бенефіціарного</w:t>
      </w:r>
      <w:proofErr w:type="spellEnd"/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власника (контролера), осіб без громадянства, осіб, які належать чи належали до терористичних організацій. Депутати нашої фракції також внесли пропозиції щодо інших обмежень для іноземців.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F6A6F" w:rsidRP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Пропозиції для попередження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нцентрації земель в одних руках: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При визначенні максимальної площі ділянки сільськогосподарської землі для продажу одному суб’єктові має бути враховано економічно обґрунтовані розміри таких ділянок із обов’язковим залученням та врахуванням відповідного зарубіжного досвіду.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Запровадження механізму ретельної перевірки походження коштів, за які купується сільськогосподарська земля.</w:t>
      </w:r>
    </w:p>
    <w:p w:rsid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Кабінет Міністрів у 6 місяців з дня ухвалення цього закону має установити порядок перевірки походження коштів, які використовуються для придбання земельних ділянок сільськогосподарського призначення.</w:t>
      </w:r>
    </w:p>
    <w:p w:rsid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F6A6F" w:rsidRPr="00FF6A6F" w:rsidRDefault="00FF6A6F" w:rsidP="00F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Пропозиції для захисту українських селян і фермерських господарств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Встановлення мінімальної ціни сільськогосподарської землі – залежно від якості і розташування ділянки, на рівні близько еквіваленту 2-3 тисячі доларів за гектар.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Створення Державного земельного банку для надання фермерам кредитів для купівлі землі під 5% річних.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Встановлення високого реєстраційного збору з купівлі-продажу сільськогосподарської землі, який надходитиме саме до бюджету громади: 3-10 прожиткових мінімумів залежно від терміновості.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Для того, щоб мати право купити сільськогосподарську землю, юридична особа повинна мати у статутних документах ведення сільськогосподарського виробництва.</w:t>
      </w:r>
    </w:p>
    <w:p w:rsidR="00FF6A6F" w:rsidRPr="00FF6A6F" w:rsidRDefault="00FF6A6F" w:rsidP="00FF6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F6A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• Протягом 10 років після купівлі забороняється змінювати цільове призначення сільськогосподарських земель, які купуються фізичними чи юридичними особами.</w:t>
      </w:r>
    </w:p>
    <w:p w:rsidR="0079302A" w:rsidRDefault="0079302A">
      <w:pPr>
        <w:rPr>
          <w:rFonts w:ascii="Times New Roman" w:hAnsi="Times New Roman" w:cs="Times New Roman"/>
          <w:sz w:val="28"/>
          <w:szCs w:val="28"/>
        </w:rPr>
      </w:pPr>
    </w:p>
    <w:p w:rsidR="00FF6A6F" w:rsidRDefault="00FF6A6F">
      <w:pPr>
        <w:rPr>
          <w:rFonts w:ascii="Times New Roman" w:hAnsi="Times New Roman" w:cs="Times New Roman"/>
          <w:sz w:val="28"/>
          <w:szCs w:val="28"/>
        </w:rPr>
      </w:pPr>
    </w:p>
    <w:p w:rsidR="00FF6A6F" w:rsidRDefault="00FF6A6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204" w:type="dxa"/>
        <w:tblLook w:val="04A0"/>
      </w:tblPr>
      <w:tblGrid>
        <w:gridCol w:w="3651"/>
      </w:tblGrid>
      <w:tr w:rsidR="00FF6A6F" w:rsidTr="00FF6A6F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FF6A6F" w:rsidRPr="00FF6A6F" w:rsidRDefault="00FF6A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6A6F">
              <w:rPr>
                <w:rFonts w:ascii="Times New Roman" w:hAnsi="Times New Roman" w:cs="Times New Roman"/>
                <w:i/>
                <w:sz w:val="28"/>
                <w:szCs w:val="28"/>
              </w:rPr>
              <w:t>Схвалено</w:t>
            </w:r>
          </w:p>
          <w:p w:rsidR="00FF6A6F" w:rsidRPr="00FF6A6F" w:rsidRDefault="00FF6A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6A6F">
              <w:rPr>
                <w:rFonts w:ascii="Times New Roman" w:hAnsi="Times New Roman" w:cs="Times New Roman"/>
                <w:i/>
                <w:sz w:val="28"/>
                <w:szCs w:val="28"/>
              </w:rPr>
              <w:t>на 34 сесії Черкаської обласної ради VII скликання</w:t>
            </w:r>
          </w:p>
          <w:p w:rsidR="00FF6A6F" w:rsidRDefault="00FF6A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A6F" w:rsidRDefault="00FF6A6F">
      <w:pPr>
        <w:rPr>
          <w:rFonts w:ascii="Times New Roman" w:hAnsi="Times New Roman" w:cs="Times New Roman"/>
          <w:sz w:val="28"/>
          <w:szCs w:val="28"/>
        </w:rPr>
      </w:pPr>
    </w:p>
    <w:p w:rsidR="00FF6A6F" w:rsidRDefault="00FF6A6F">
      <w:pPr>
        <w:rPr>
          <w:rFonts w:ascii="Times New Roman" w:hAnsi="Times New Roman" w:cs="Times New Roman"/>
          <w:sz w:val="28"/>
          <w:szCs w:val="28"/>
        </w:rPr>
      </w:pPr>
    </w:p>
    <w:p w:rsidR="00FF6A6F" w:rsidRDefault="00FF6A6F">
      <w:pPr>
        <w:rPr>
          <w:rFonts w:ascii="Times New Roman" w:hAnsi="Times New Roman" w:cs="Times New Roman"/>
          <w:sz w:val="28"/>
          <w:szCs w:val="28"/>
        </w:rPr>
      </w:pPr>
    </w:p>
    <w:p w:rsidR="00FF6A6F" w:rsidRDefault="00FF6A6F">
      <w:pPr>
        <w:rPr>
          <w:rFonts w:ascii="Times New Roman" w:hAnsi="Times New Roman" w:cs="Times New Roman"/>
          <w:sz w:val="28"/>
          <w:szCs w:val="28"/>
        </w:rPr>
      </w:pPr>
    </w:p>
    <w:p w:rsidR="00FF6A6F" w:rsidRDefault="00FF6A6F">
      <w:pPr>
        <w:rPr>
          <w:rFonts w:ascii="Times New Roman" w:hAnsi="Times New Roman" w:cs="Times New Roman"/>
          <w:sz w:val="28"/>
          <w:szCs w:val="28"/>
        </w:rPr>
      </w:pPr>
    </w:p>
    <w:p w:rsidR="008235EF" w:rsidRDefault="008235EF">
      <w:pPr>
        <w:rPr>
          <w:rFonts w:ascii="Times New Roman" w:hAnsi="Times New Roman" w:cs="Times New Roman"/>
          <w:sz w:val="28"/>
          <w:szCs w:val="28"/>
        </w:rPr>
      </w:pPr>
    </w:p>
    <w:p w:rsidR="008235EF" w:rsidRDefault="008235EF">
      <w:pPr>
        <w:rPr>
          <w:rFonts w:ascii="Times New Roman" w:hAnsi="Times New Roman" w:cs="Times New Roman"/>
          <w:sz w:val="28"/>
          <w:szCs w:val="28"/>
        </w:rPr>
      </w:pPr>
    </w:p>
    <w:p w:rsidR="008235EF" w:rsidRDefault="008235EF">
      <w:pPr>
        <w:rPr>
          <w:rFonts w:ascii="Times New Roman" w:hAnsi="Times New Roman" w:cs="Times New Roman"/>
          <w:sz w:val="28"/>
          <w:szCs w:val="28"/>
        </w:rPr>
      </w:pPr>
    </w:p>
    <w:p w:rsidR="008235EF" w:rsidRDefault="008235EF">
      <w:pPr>
        <w:rPr>
          <w:rFonts w:ascii="Times New Roman" w:hAnsi="Times New Roman" w:cs="Times New Roman"/>
          <w:sz w:val="28"/>
          <w:szCs w:val="28"/>
        </w:rPr>
      </w:pPr>
    </w:p>
    <w:p w:rsidR="008235EF" w:rsidRDefault="008235EF">
      <w:pPr>
        <w:rPr>
          <w:rFonts w:ascii="Times New Roman" w:hAnsi="Times New Roman" w:cs="Times New Roman"/>
          <w:sz w:val="28"/>
          <w:szCs w:val="28"/>
        </w:rPr>
      </w:pPr>
    </w:p>
    <w:p w:rsidR="008235EF" w:rsidRDefault="008235EF">
      <w:pPr>
        <w:rPr>
          <w:rFonts w:ascii="Times New Roman" w:hAnsi="Times New Roman" w:cs="Times New Roman"/>
          <w:sz w:val="28"/>
          <w:szCs w:val="28"/>
        </w:rPr>
      </w:pPr>
    </w:p>
    <w:p w:rsidR="008235EF" w:rsidRDefault="008235EF">
      <w:pPr>
        <w:rPr>
          <w:rFonts w:ascii="Times New Roman" w:hAnsi="Times New Roman" w:cs="Times New Roman"/>
          <w:sz w:val="28"/>
          <w:szCs w:val="28"/>
        </w:rPr>
      </w:pPr>
    </w:p>
    <w:p w:rsidR="008235EF" w:rsidRPr="00FF6A6F" w:rsidRDefault="008235EF">
      <w:pPr>
        <w:rPr>
          <w:rFonts w:ascii="Times New Roman" w:hAnsi="Times New Roman" w:cs="Times New Roman"/>
          <w:sz w:val="28"/>
          <w:szCs w:val="28"/>
        </w:rPr>
      </w:pPr>
    </w:p>
    <w:sectPr w:rsidR="008235EF" w:rsidRPr="00FF6A6F" w:rsidSect="007930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6A6F"/>
    <w:rsid w:val="0079302A"/>
    <w:rsid w:val="008235EF"/>
    <w:rsid w:val="00FF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4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1873</Words>
  <Characters>1069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Nachupravdil</cp:lastModifiedBy>
  <cp:revision>5</cp:revision>
  <cp:lastPrinted>2019-12-19T13:44:00Z</cp:lastPrinted>
  <dcterms:created xsi:type="dcterms:W3CDTF">2019-12-19T13:34:00Z</dcterms:created>
  <dcterms:modified xsi:type="dcterms:W3CDTF">2019-12-19T13:44:00Z</dcterms:modified>
</cp:coreProperties>
</file>