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258" w:rsidRPr="00671077" w:rsidRDefault="00E147A0" w:rsidP="00E31BCB">
      <w:pPr>
        <w:ind w:firstLine="851"/>
        <w:jc w:val="both"/>
        <w:rPr>
          <w:rFonts w:ascii="Times New Roman" w:hAnsi="Times New Roman" w:cs="Times New Roman"/>
          <w:b/>
          <w:sz w:val="36"/>
          <w:szCs w:val="36"/>
          <w:highlight w:val="yellow"/>
          <w:lang w:val="uk-UA"/>
        </w:rPr>
      </w:pPr>
      <w:r w:rsidRPr="00671077">
        <w:rPr>
          <w:rFonts w:ascii="Times New Roman" w:hAnsi="Times New Roman" w:cs="Times New Roman"/>
          <w:b/>
          <w:sz w:val="36"/>
          <w:szCs w:val="36"/>
          <w:highlight w:val="yellow"/>
          <w:u w:val="single"/>
          <w:lang w:val="uk-UA"/>
        </w:rPr>
        <w:t>Конспект на тему:</w:t>
      </w:r>
      <w:r w:rsidRPr="00671077">
        <w:rPr>
          <w:rFonts w:ascii="Times New Roman" w:hAnsi="Times New Roman" w:cs="Times New Roman"/>
          <w:b/>
          <w:sz w:val="36"/>
          <w:szCs w:val="36"/>
          <w:highlight w:val="yellow"/>
          <w:lang w:val="uk-UA"/>
        </w:rPr>
        <w:t xml:space="preserve"> </w:t>
      </w:r>
    </w:p>
    <w:p w:rsidR="00E31BCB" w:rsidRPr="00671077" w:rsidRDefault="00E147A0" w:rsidP="00671077">
      <w:pPr>
        <w:ind w:firstLine="851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671077">
        <w:rPr>
          <w:rFonts w:ascii="Times New Roman" w:hAnsi="Times New Roman" w:cs="Times New Roman"/>
          <w:b/>
          <w:i/>
          <w:sz w:val="36"/>
          <w:szCs w:val="36"/>
          <w:highlight w:val="yellow"/>
          <w:lang w:val="uk-UA"/>
        </w:rPr>
        <w:t>«Етична поведінка посадової особи місцевого самоврядування</w:t>
      </w:r>
      <w:r w:rsidR="00E31BCB" w:rsidRPr="00671077">
        <w:rPr>
          <w:rFonts w:ascii="Times New Roman" w:hAnsi="Times New Roman" w:cs="Times New Roman"/>
          <w:b/>
          <w:i/>
          <w:sz w:val="36"/>
          <w:szCs w:val="36"/>
          <w:highlight w:val="yellow"/>
          <w:lang w:val="uk-UA"/>
        </w:rPr>
        <w:t xml:space="preserve"> як засіб запобігання та протидії корупції».</w:t>
      </w:r>
    </w:p>
    <w:p w:rsidR="00E31BCB" w:rsidRPr="00CF1595" w:rsidRDefault="00CD6AE5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59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осадові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особи місцевого самоврядування при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в межах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що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та законами України, 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договорами,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згода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обов’язковість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яких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надана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Верховною Радою України.</w:t>
      </w:r>
    </w:p>
    <w:p w:rsidR="00E31BCB" w:rsidRPr="00CF1595" w:rsidRDefault="00CD6AE5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595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E31BCB" w:rsidRPr="00CF1595">
        <w:rPr>
          <w:rFonts w:ascii="Times New Roman" w:hAnsi="Times New Roman" w:cs="Times New Roman"/>
          <w:sz w:val="28"/>
          <w:szCs w:val="28"/>
          <w:lang w:val="uk-UA"/>
        </w:rPr>
        <w:t xml:space="preserve">етичної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Законом України «Про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корупції» - далі (Закон),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CF23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ро</w:t>
      </w:r>
      <w:r w:rsidR="00653258">
        <w:rPr>
          <w:rFonts w:ascii="Times New Roman" w:hAnsi="Times New Roman" w:cs="Times New Roman"/>
          <w:sz w:val="28"/>
          <w:szCs w:val="28"/>
        </w:rPr>
        <w:t>зділом</w:t>
      </w:r>
      <w:proofErr w:type="spellEnd"/>
      <w:r w:rsidR="00653258">
        <w:rPr>
          <w:rFonts w:ascii="Times New Roman" w:hAnsi="Times New Roman" w:cs="Times New Roman"/>
          <w:sz w:val="28"/>
          <w:szCs w:val="28"/>
        </w:rPr>
        <w:t xml:space="preserve"> </w:t>
      </w:r>
      <w:r w:rsidRPr="00CF1595">
        <w:rPr>
          <w:rFonts w:ascii="Times New Roman" w:hAnsi="Times New Roman" w:cs="Times New Roman"/>
          <w:sz w:val="28"/>
          <w:szCs w:val="28"/>
        </w:rPr>
        <w:t>V</w:t>
      </w:r>
      <w:r w:rsidR="0065325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F1595">
        <w:rPr>
          <w:rFonts w:ascii="Times New Roman" w:hAnsi="Times New Roman" w:cs="Times New Roman"/>
          <w:sz w:val="28"/>
          <w:szCs w:val="28"/>
        </w:rPr>
        <w:t xml:space="preserve"> (Правила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етичної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), наказом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агентства України з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служби №158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05.08.2016 «Про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етичної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службовців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місцевого самоврядування»,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зареєстрован</w:t>
      </w:r>
      <w:r w:rsidR="00CF2384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r w:rsidR="00CF238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Міністерстві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України 31.08.2016 за №1203/29333</w:t>
      </w:r>
      <w:r w:rsidR="001710B3">
        <w:rPr>
          <w:rFonts w:ascii="Times New Roman" w:hAnsi="Times New Roman" w:cs="Times New Roman"/>
          <w:sz w:val="28"/>
          <w:szCs w:val="28"/>
          <w:lang w:val="uk-UA"/>
        </w:rPr>
        <w:t xml:space="preserve"> та  Пам’яткою посадової особи виконавчого апарату Черкаської обласної ради – загальні правила етичної поведінки посадових осіб </w:t>
      </w:r>
      <w:r w:rsidR="00341CBE">
        <w:rPr>
          <w:rFonts w:ascii="Times New Roman" w:hAnsi="Times New Roman" w:cs="Times New Roman"/>
          <w:sz w:val="28"/>
          <w:szCs w:val="28"/>
          <w:lang w:val="uk-UA"/>
        </w:rPr>
        <w:t>виконавчого апарату Черкаської обласної ради, затверджен</w:t>
      </w:r>
      <w:r w:rsidR="00CF238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41CBE">
        <w:rPr>
          <w:rFonts w:ascii="Times New Roman" w:hAnsi="Times New Roman" w:cs="Times New Roman"/>
          <w:sz w:val="28"/>
          <w:szCs w:val="28"/>
          <w:lang w:val="uk-UA"/>
        </w:rPr>
        <w:t xml:space="preserve"> головою обласної ради 30.10.2018</w:t>
      </w:r>
      <w:r w:rsidRPr="00CF1595">
        <w:rPr>
          <w:rFonts w:ascii="Times New Roman" w:hAnsi="Times New Roman" w:cs="Times New Roman"/>
          <w:sz w:val="28"/>
          <w:szCs w:val="28"/>
        </w:rPr>
        <w:t>.</w:t>
      </w:r>
    </w:p>
    <w:p w:rsidR="00DA5A9C" w:rsidRDefault="002726EB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F2384">
        <w:rPr>
          <w:rFonts w:ascii="Times New Roman" w:hAnsi="Times New Roman" w:cs="Times New Roman"/>
          <w:sz w:val="28"/>
          <w:szCs w:val="28"/>
          <w:lang w:val="uk-UA"/>
        </w:rPr>
        <w:t>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статті 37 Закону</w:t>
      </w:r>
      <w:r w:rsidR="007D3C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C10">
        <w:rPr>
          <w:rFonts w:ascii="Times New Roman" w:hAnsi="Times New Roman" w:cs="Times New Roman"/>
          <w:sz w:val="28"/>
          <w:szCs w:val="28"/>
        </w:rPr>
        <w:t>визначен</w:t>
      </w:r>
      <w:proofErr w:type="spellEnd"/>
      <w:r w:rsidR="007D3C10">
        <w:rPr>
          <w:rFonts w:ascii="Times New Roman" w:hAnsi="Times New Roman" w:cs="Times New Roman"/>
          <w:sz w:val="28"/>
          <w:szCs w:val="28"/>
          <w:lang w:val="uk-UA"/>
        </w:rPr>
        <w:t>о, що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4F0089">
        <w:rPr>
          <w:rFonts w:ascii="Times New Roman" w:hAnsi="Times New Roman" w:cs="Times New Roman"/>
          <w:sz w:val="28"/>
          <w:szCs w:val="28"/>
          <w:lang w:val="uk-UA"/>
        </w:rPr>
        <w:t xml:space="preserve"> органів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місцевого самоврядування</w:t>
      </w:r>
      <w:r w:rsidR="004F0089">
        <w:rPr>
          <w:rFonts w:ascii="Times New Roman" w:hAnsi="Times New Roman" w:cs="Times New Roman"/>
          <w:sz w:val="28"/>
          <w:szCs w:val="28"/>
          <w:lang w:val="uk-UA"/>
        </w:rPr>
        <w:t xml:space="preserve"> (далі - посадові особи)</w:t>
      </w:r>
      <w:r w:rsidR="00CD6AE5" w:rsidRPr="00CF1595">
        <w:rPr>
          <w:rFonts w:ascii="Times New Roman" w:hAnsi="Times New Roman" w:cs="Times New Roman"/>
          <w:sz w:val="28"/>
          <w:szCs w:val="28"/>
        </w:rPr>
        <w:t>,</w:t>
      </w:r>
      <w:r w:rsidR="004F00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керуватися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час виконання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представницьких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підстави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та порядок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7D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3C10" w:rsidRPr="007D3C10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="007D3C10" w:rsidRPr="007D3C10">
        <w:rPr>
          <w:rFonts w:ascii="Times New Roman" w:hAnsi="Times New Roman" w:cs="Times New Roman"/>
          <w:sz w:val="28"/>
          <w:szCs w:val="28"/>
        </w:rPr>
        <w:t xml:space="preserve"> Законом, який є правовою основою для </w:t>
      </w:r>
      <w:proofErr w:type="spellStart"/>
      <w:r w:rsidR="007D3C10" w:rsidRPr="007D3C10">
        <w:rPr>
          <w:rFonts w:ascii="Times New Roman" w:hAnsi="Times New Roman" w:cs="Times New Roman"/>
          <w:sz w:val="28"/>
          <w:szCs w:val="28"/>
        </w:rPr>
        <w:t>кодексів</w:t>
      </w:r>
      <w:proofErr w:type="spellEnd"/>
      <w:r w:rsidR="007D3C10" w:rsidRPr="007D3C10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7D3C10" w:rsidRPr="007D3C10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="007D3C10" w:rsidRPr="007D3C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C10" w:rsidRPr="007D3C10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="007D3C10" w:rsidRPr="007D3C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C10" w:rsidRPr="007D3C10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>.</w:t>
      </w:r>
    </w:p>
    <w:p w:rsidR="00CF2384" w:rsidRPr="00CF1595" w:rsidRDefault="00CF2384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Автономної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місцевого самоврядування у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розробляють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виконання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галузевих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кодексів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етичної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інших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на виконання функцій держави або місцевого самоврядування,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прирівняних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до них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діяльність у сфері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84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F2384">
        <w:rPr>
          <w:rFonts w:ascii="Times New Roman" w:hAnsi="Times New Roman" w:cs="Times New Roman"/>
          <w:sz w:val="28"/>
          <w:szCs w:val="28"/>
        </w:rPr>
        <w:t>.</w:t>
      </w:r>
    </w:p>
    <w:p w:rsidR="00DA5A9C" w:rsidRPr="00CF1595" w:rsidRDefault="00CD6AE5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38 Закону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вказує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що </w:t>
      </w:r>
      <w:r w:rsidR="00CF1595" w:rsidRPr="00CF1595">
        <w:rPr>
          <w:rFonts w:ascii="Times New Roman" w:hAnsi="Times New Roman" w:cs="Times New Roman"/>
          <w:sz w:val="28"/>
          <w:szCs w:val="28"/>
          <w:lang w:val="uk-UA"/>
        </w:rPr>
        <w:t xml:space="preserve">посадові особи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час виконання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неухильно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додержуватися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закону та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загальновизнаних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етичних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бути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ввічливими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стосунках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керівниками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колегами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підлеглими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>.</w:t>
      </w:r>
    </w:p>
    <w:p w:rsidR="00DA5A9C" w:rsidRPr="00CF1595" w:rsidRDefault="00CD6AE5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40 Закону </w:t>
      </w:r>
      <w:r w:rsidR="00341CBE"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Pr="00CF1595">
        <w:rPr>
          <w:rFonts w:ascii="Times New Roman" w:hAnsi="Times New Roman" w:cs="Times New Roman"/>
          <w:sz w:val="28"/>
          <w:szCs w:val="28"/>
        </w:rPr>
        <w:t xml:space="preserve">, що </w:t>
      </w:r>
      <w:r w:rsidR="0062185B">
        <w:rPr>
          <w:rFonts w:ascii="Times New Roman" w:hAnsi="Times New Roman" w:cs="Times New Roman"/>
          <w:sz w:val="28"/>
          <w:szCs w:val="28"/>
          <w:lang w:val="uk-UA"/>
        </w:rPr>
        <w:t xml:space="preserve">посадові особи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нейтральності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уникати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демонстрацій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у будь-якому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переконань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поглядів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службові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lastRenderedPageBreak/>
        <w:t>повноваження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в інтересах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осередків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політиків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>.</w:t>
      </w:r>
    </w:p>
    <w:p w:rsidR="00DA5A9C" w:rsidRPr="00CF1595" w:rsidRDefault="004F0089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2384">
        <w:rPr>
          <w:rFonts w:ascii="Times New Roman" w:hAnsi="Times New Roman" w:cs="Times New Roman"/>
          <w:sz w:val="28"/>
          <w:szCs w:val="28"/>
          <w:lang w:val="uk-UA"/>
        </w:rPr>
        <w:t>гідно з</w:t>
      </w:r>
      <w:r w:rsidR="00F1783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41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посадові особи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діяти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неупереджено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приватні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особисте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до будь-яких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погляди,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ідеологічні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релігійні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погляди чи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переконання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>.</w:t>
      </w:r>
    </w:p>
    <w:p w:rsidR="00DA5A9C" w:rsidRPr="00CF1595" w:rsidRDefault="00064C43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зазаначено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татт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42 Закону</w:t>
      </w:r>
      <w:r w:rsidR="003604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0089">
        <w:rPr>
          <w:rFonts w:ascii="Times New Roman" w:hAnsi="Times New Roman" w:cs="Times New Roman"/>
          <w:sz w:val="28"/>
          <w:szCs w:val="28"/>
          <w:lang w:val="uk-UA"/>
        </w:rPr>
        <w:t>посадов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F0089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3604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F008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зобов’язані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сумлінно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компетентно,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вчасно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результативно і відповідально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службові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доручення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підпорядковані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підзвітні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підконтрольні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допускати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зловживань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неефективного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>.</w:t>
      </w:r>
    </w:p>
    <w:p w:rsidR="0062185B" w:rsidRDefault="00CD6AE5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1595">
        <w:rPr>
          <w:rFonts w:ascii="Times New Roman" w:hAnsi="Times New Roman" w:cs="Times New Roman"/>
          <w:sz w:val="28"/>
          <w:szCs w:val="28"/>
        </w:rPr>
        <w:t xml:space="preserve">Законом заборонено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розголошувати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конфіденційну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та іншу інформацію з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доступом, що стала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з виконанням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обов’язкі</w:t>
      </w:r>
      <w:r w:rsidR="00DB750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B75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750A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DB7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50A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="00DB75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750A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="00DB750A">
        <w:rPr>
          <w:rFonts w:ascii="Times New Roman" w:hAnsi="Times New Roman" w:cs="Times New Roman"/>
          <w:sz w:val="28"/>
          <w:szCs w:val="28"/>
        </w:rPr>
        <w:t xml:space="preserve"> </w:t>
      </w:r>
      <w:r w:rsidR="00DB750A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CF1595">
        <w:rPr>
          <w:rFonts w:ascii="Times New Roman" w:hAnsi="Times New Roman" w:cs="Times New Roman"/>
          <w:sz w:val="28"/>
          <w:szCs w:val="28"/>
        </w:rPr>
        <w:t>аконом</w:t>
      </w:r>
      <w:proofErr w:type="spellEnd"/>
      <w:r w:rsidRPr="00CF1595">
        <w:rPr>
          <w:rFonts w:ascii="Times New Roman" w:hAnsi="Times New Roman" w:cs="Times New Roman"/>
          <w:sz w:val="28"/>
          <w:szCs w:val="28"/>
        </w:rPr>
        <w:t xml:space="preserve"> (ст.43 Закону). </w:t>
      </w:r>
    </w:p>
    <w:p w:rsidR="00DA5A9C" w:rsidRPr="00CF1595" w:rsidRDefault="00DB750A" w:rsidP="00CF15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таття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4</w:t>
      </w:r>
      <w:r w:rsidR="0062185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що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приватні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посадовим особам</w:t>
      </w:r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необхідно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утримуватися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виконання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кер</w:t>
      </w:r>
      <w:r>
        <w:rPr>
          <w:rFonts w:ascii="Times New Roman" w:hAnsi="Times New Roman" w:cs="Times New Roman"/>
          <w:sz w:val="28"/>
          <w:szCs w:val="28"/>
        </w:rPr>
        <w:t>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якщо вони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CD6AE5" w:rsidRPr="00CF1595">
        <w:rPr>
          <w:rFonts w:ascii="Times New Roman" w:hAnsi="Times New Roman" w:cs="Times New Roman"/>
          <w:sz w:val="28"/>
          <w:szCs w:val="28"/>
        </w:rPr>
        <w:t>акону</w:t>
      </w:r>
      <w:proofErr w:type="spellEnd"/>
      <w:r w:rsidR="00CD6AE5" w:rsidRPr="00CF15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AE5" w:rsidRDefault="0062185B" w:rsidP="00E31BC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Посадові особи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оцінюють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правомірність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можливу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шкоду, що буде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завдана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у разі виконання таких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. У разі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для виконання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r w:rsidR="00DB750A">
        <w:rPr>
          <w:rFonts w:ascii="Times New Roman" w:hAnsi="Times New Roman" w:cs="Times New Roman"/>
          <w:sz w:val="28"/>
          <w:szCs w:val="28"/>
          <w:lang w:val="uk-UA"/>
        </w:rPr>
        <w:t>посадова особа</w:t>
      </w:r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вважає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незаконними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або такими, що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загрозу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охоронюваним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законом правам, свободам чи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інтересам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суспільним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інтересам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органу,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установи,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в якому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виборні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особи - </w:t>
      </w:r>
      <w:proofErr w:type="spellStart"/>
      <w:r w:rsidR="00CD6AE5" w:rsidRPr="0062185B">
        <w:rPr>
          <w:rFonts w:ascii="Times New Roman" w:hAnsi="Times New Roman" w:cs="Times New Roman"/>
          <w:sz w:val="28"/>
          <w:szCs w:val="28"/>
        </w:rPr>
        <w:t>Національне</w:t>
      </w:r>
      <w:proofErr w:type="spellEnd"/>
      <w:r w:rsidR="00CD6AE5" w:rsidRPr="0062185B">
        <w:rPr>
          <w:rFonts w:ascii="Times New Roman" w:hAnsi="Times New Roman" w:cs="Times New Roman"/>
          <w:sz w:val="28"/>
          <w:szCs w:val="28"/>
        </w:rPr>
        <w:t xml:space="preserve"> агентство. </w:t>
      </w:r>
    </w:p>
    <w:p w:rsidR="008C1507" w:rsidRPr="008C1507" w:rsidRDefault="008C1507" w:rsidP="008C1507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C1507">
        <w:rPr>
          <w:rFonts w:ascii="Times New Roman" w:hAnsi="Times New Roman" w:cs="Times New Roman"/>
          <w:bCs/>
          <w:sz w:val="28"/>
          <w:szCs w:val="28"/>
          <w:lang w:val="uk-UA"/>
        </w:rPr>
        <w:t>Згідно з частиною 1 статті 1 Закону правопорушення, пов’язане з корупцією - це діяння, що не містить ознак корупції, але порушує встановлені цим Законом вимоги, заборони та обмеження, вчинене особою, зазначеною у частині першій статті 3 цього Закону, за яке законом встановлено кримінальну, адміністративну, дисциплінарну та/або цивільно-правову відповідальність.</w:t>
      </w:r>
    </w:p>
    <w:p w:rsidR="009D682B" w:rsidRPr="009D682B" w:rsidRDefault="009D682B" w:rsidP="009D682B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D682B">
        <w:rPr>
          <w:rFonts w:ascii="Times New Roman" w:hAnsi="Times New Roman" w:cs="Times New Roman"/>
          <w:sz w:val="28"/>
          <w:szCs w:val="28"/>
          <w:lang w:val="uk-UA"/>
        </w:rPr>
        <w:t>Відповідно до статті 65 Закону за вчинення корупційних або пов’язаних з корупцією правопорушень посадові особи, притягаються до кримінальної, адміністративної, цивільно-правової та дисциплінарної відповідальності у встановленому законом порядку.</w:t>
      </w:r>
    </w:p>
    <w:p w:rsidR="001112A0" w:rsidRPr="001112A0" w:rsidRDefault="009D682B" w:rsidP="009D682B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Кодексом України про адміністративні правопорушення встановлено адміністративну відповідальність за</w:t>
      </w:r>
      <w:r w:rsidR="001112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64C43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1112A0" w:rsidRPr="00064C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езаконне розголошення або використання в інший спосіб особою у своїх інтересах інформації</w:t>
      </w:r>
      <w:r w:rsidRPr="00064C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112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1112A0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інформації </w:t>
      </w:r>
      <w:r w:rsidR="001112A0" w:rsidRPr="001112A0">
        <w:rPr>
          <w:rFonts w:ascii="Times New Roman" w:hAnsi="Times New Roman" w:cs="Times New Roman"/>
          <w:bCs/>
          <w:sz w:val="28"/>
          <w:szCs w:val="28"/>
        </w:rPr>
        <w:t> </w:t>
      </w:r>
      <w:r w:rsidR="001112A0" w:rsidRPr="001112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викривача, його близьких осіб чи інформації, що може ідентифікувати особу викривача, його близьких осіб</w:t>
      </w:r>
      <w:r w:rsidR="00A237F5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9D682B" w:rsidRPr="009D682B" w:rsidRDefault="009D682B" w:rsidP="009D682B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незаконне використання інформації, що стала відома особі у зв’язку з виконанням службових або інших визначених законом повноважень (стаття 172</w:t>
      </w:r>
      <w:r w:rsidRPr="009D682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-8</w:t>
      </w: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) та встановлено відповідальність у виді штрафу від ста (1</w:t>
      </w:r>
      <w:r w:rsidR="00B75F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700</w:t>
      </w:r>
      <w:r w:rsidR="00B75F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грн</w:t>
      </w: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) до двох тисяч (34</w:t>
      </w:r>
      <w:r w:rsidR="00B75F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000</w:t>
      </w:r>
      <w:r w:rsidR="00B75F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грн</w:t>
      </w:r>
      <w:r w:rsidRPr="009D682B">
        <w:rPr>
          <w:rFonts w:ascii="Times New Roman" w:hAnsi="Times New Roman" w:cs="Times New Roman"/>
          <w:bCs/>
          <w:sz w:val="28"/>
          <w:szCs w:val="28"/>
          <w:lang w:val="uk-UA"/>
        </w:rPr>
        <w:t>) неоподаткованих мінімумів доходів громадян з позбавленням права обіймати певні посади або займатися певною діяльністю строком на 1 рік.</w:t>
      </w:r>
    </w:p>
    <w:p w:rsidR="00671077" w:rsidRPr="00E06B26" w:rsidRDefault="00671077" w:rsidP="00671077">
      <w:pPr>
        <w:ind w:firstLine="851"/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</w:pPr>
      <w:r w:rsidRPr="00E06B26">
        <w:rPr>
          <w:rFonts w:ascii="Times New Roman" w:hAnsi="Times New Roman" w:cs="Times New Roman"/>
          <w:b/>
          <w:color w:val="FF0000"/>
          <w:sz w:val="44"/>
          <w:szCs w:val="44"/>
          <w:lang w:val="uk-UA"/>
        </w:rPr>
        <w:t>За що настає відповідальність?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077">
        <w:rPr>
          <w:rFonts w:ascii="Times New Roman" w:hAnsi="Times New Roman" w:cs="Times New Roman"/>
          <w:sz w:val="28"/>
          <w:szCs w:val="28"/>
          <w:lang w:val="uk-UA"/>
        </w:rPr>
        <w:t>Незаконне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розголошення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використання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в інший спосіб особою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у своїх інтересах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інформації, яка стала їй відома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зв’язку з виконанням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службових або інших визначених законом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повноважень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077">
        <w:rPr>
          <w:rFonts w:ascii="Times New Roman" w:hAnsi="Times New Roman" w:cs="Times New Roman"/>
          <w:sz w:val="28"/>
          <w:szCs w:val="28"/>
          <w:lang w:val="uk-UA"/>
        </w:rPr>
        <w:t>Незаконне розголошення або використання в інший спосіб особою у своїх інтересах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чи в інтересах іншої фізичної або юридичної особи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викривача</w:t>
      </w:r>
      <w:r w:rsidRPr="00671077">
        <w:rPr>
          <w:rFonts w:ascii="Times New Roman" w:hAnsi="Times New Roman" w:cs="Times New Roman"/>
          <w:sz w:val="28"/>
          <w:szCs w:val="28"/>
          <w:lang w:val="uk-UA"/>
        </w:rPr>
        <w:t>, його близьких осіб чи інформації, що може ідентифікувати особу викривача, його близьких осіб, яка стала їй (їм) відома у зв’язку з виконанням службових або інших визначених законом повноважень.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бачимо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факту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:</w:t>
      </w:r>
    </w:p>
    <w:p w:rsidR="00671077" w:rsidRPr="00671077" w:rsidRDefault="00671077" w:rsidP="0067107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Особа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розголосити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інформацію.</w:t>
      </w:r>
    </w:p>
    <w:p w:rsidR="00671077" w:rsidRPr="00671077" w:rsidRDefault="00671077" w:rsidP="0067107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B26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Розголошення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 інформації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 інтересах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особи,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розголошує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.</w:t>
      </w:r>
    </w:p>
    <w:p w:rsidR="00671077" w:rsidRPr="00671077" w:rsidRDefault="00671077" w:rsidP="0067107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Інформація</w:t>
      </w:r>
      <w:r w:rsidRPr="00671077">
        <w:rPr>
          <w:rFonts w:ascii="Times New Roman" w:hAnsi="Times New Roman" w:cs="Times New Roman"/>
          <w:sz w:val="28"/>
          <w:szCs w:val="28"/>
        </w:rPr>
        <w:t xml:space="preserve">, яку особа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розголосила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стала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час виконання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а не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чином.</w:t>
      </w:r>
    </w:p>
    <w:p w:rsidR="00671077" w:rsidRPr="00671077" w:rsidRDefault="00671077" w:rsidP="0067107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6B26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Мета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розголошення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інформації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викривача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(ч. 2 ст. 172</w:t>
      </w:r>
      <w:r w:rsidRPr="00671077">
        <w:rPr>
          <w:rFonts w:ascii="Times New Roman" w:hAnsi="Times New Roman" w:cs="Times New Roman"/>
          <w:sz w:val="28"/>
          <w:szCs w:val="28"/>
          <w:vertAlign w:val="superscript"/>
        </w:rPr>
        <w:t>8 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КУпАП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–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інтересах чи інтересах інших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) не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несення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служби.</w:t>
      </w:r>
    </w:p>
    <w:p w:rsidR="00E06B26" w:rsidRDefault="00E06B26" w:rsidP="00E06B26">
      <w:pPr>
        <w:ind w:firstLine="851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671077" w:rsidRPr="00E06B26" w:rsidRDefault="00671077" w:rsidP="00E06B26">
      <w:pPr>
        <w:ind w:firstLine="851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proofErr w:type="spellStart"/>
      <w:r w:rsidRPr="00E06B26">
        <w:rPr>
          <w:rFonts w:ascii="Times New Roman" w:hAnsi="Times New Roman" w:cs="Times New Roman"/>
          <w:b/>
          <w:color w:val="FF0000"/>
          <w:sz w:val="36"/>
          <w:szCs w:val="36"/>
        </w:rPr>
        <w:t>Судова</w:t>
      </w:r>
      <w:proofErr w:type="spellEnd"/>
      <w:r w:rsidRPr="00E06B26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практика</w:t>
      </w:r>
    </w:p>
    <w:p w:rsidR="00671077" w:rsidRPr="00E06B26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Аби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краще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зрозуміти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у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чому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можуть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проявлятися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зазначені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правопорушення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якої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позиції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дотримуються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суди </w:t>
      </w:r>
      <w:proofErr w:type="gramStart"/>
      <w:r w:rsidRPr="00E06B26">
        <w:rPr>
          <w:rFonts w:ascii="Times New Roman" w:hAnsi="Times New Roman" w:cs="Times New Roman"/>
          <w:iCs/>
          <w:sz w:val="28"/>
          <w:szCs w:val="28"/>
        </w:rPr>
        <w:t>у таких справах</w:t>
      </w:r>
      <w:proofErr w:type="gram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наведемо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декілька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06B26">
        <w:rPr>
          <w:rFonts w:ascii="Times New Roman" w:hAnsi="Times New Roman" w:cs="Times New Roman"/>
          <w:iCs/>
          <w:sz w:val="28"/>
          <w:szCs w:val="28"/>
        </w:rPr>
        <w:t>прикладів</w:t>
      </w:r>
      <w:proofErr w:type="spellEnd"/>
      <w:r w:rsidRPr="00E06B26">
        <w:rPr>
          <w:rFonts w:ascii="Times New Roman" w:hAnsi="Times New Roman" w:cs="Times New Roman"/>
          <w:iCs/>
          <w:sz w:val="28"/>
          <w:szCs w:val="28"/>
        </w:rPr>
        <w:t>.</w:t>
      </w:r>
    </w:p>
    <w:p w:rsidR="00671077" w:rsidRPr="00671077" w:rsidRDefault="00671077" w:rsidP="0067107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Працівники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поліції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мають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право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розповсюджувати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інформацію,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отриману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час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несення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служби, 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>лише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у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>випадках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передбачених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законом.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Фабула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>: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інспектор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перебуваючи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добовому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наряді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отримавши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інформацію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імовірного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кримінального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особою,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перебувала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дружніх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повідомила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отриману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інформацію, 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персональні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потерпілого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Докази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вини особи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беззаперечні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: були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аудіозаписи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телефонних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розмов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 номера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інспектора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номер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ймовірно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причетної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особи, 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допитані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свідки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підтвердили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факт перебування особи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наряді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потерпілого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особою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(Постанова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від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04.05.2020 №173/543/20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Верхньодніпровський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районний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суд).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Як результат суд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встановив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вини особи.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> </w:t>
      </w:r>
    </w:p>
    <w:p w:rsidR="00671077" w:rsidRPr="00671077" w:rsidRDefault="00671077" w:rsidP="006710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особою інформації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щодо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себе не містить складу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адміністративного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Фабула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особи було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складено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протокол за те, що вона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доступ до Державного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сформувала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інформаційну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довідку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майна, яку в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приватних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інтересах</w:t>
      </w:r>
      <w:r w:rsidR="008668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надавши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1077">
        <w:rPr>
          <w:rFonts w:ascii="Times New Roman" w:hAnsi="Times New Roman" w:cs="Times New Roman"/>
          <w:sz w:val="28"/>
          <w:szCs w:val="28"/>
        </w:rPr>
        <w:t>до суду</w:t>
      </w:r>
      <w:proofErr w:type="gram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спору 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(Постанова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від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30.01.2020 № 577/5/20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Конотопський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міськрайонний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суд).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Під час судового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що, перш за все,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особою не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а тому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очевидно, що особа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доступом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особою.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суд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закрив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відсутністю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діях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особи складу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> </w:t>
      </w:r>
    </w:p>
    <w:p w:rsidR="00671077" w:rsidRPr="00671077" w:rsidRDefault="00671077" w:rsidP="0067107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обов’язково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має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містити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інформацію, у яких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саме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діях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особи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вбачається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факт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розголошення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чи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іншого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службової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інформації.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Фабула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7107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секретаріату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притягнуто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начебто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незаконне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одного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іспитів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час проходження конкурсного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r w:rsidRPr="00671077">
        <w:rPr>
          <w:rFonts w:ascii="Times New Roman" w:hAnsi="Times New Roman" w:cs="Times New Roman"/>
          <w:sz w:val="28"/>
          <w:szCs w:val="28"/>
        </w:rPr>
        <w:lastRenderedPageBreak/>
        <w:t xml:space="preserve">на зайняття посади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судової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України. Суть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обвинувачення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зводилась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 того,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попередньо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посадою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підписувала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конфіденційність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нерозголошення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інформації, відповідно до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передавалися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англійською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зайняття посад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служби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“А” 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(Постанова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від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24.12.2019 № 761/26744/19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Київський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апеляційний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суд).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Під час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апеляційного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з’ясовано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підписувала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конфіденційна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містилась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флеш-носії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доступ до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був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інших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того, суд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вказав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про те, що протокол не містить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передбаченого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ст. 172-8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КУпАП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де і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кого особа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інформацію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доступом.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матеріалах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докази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вказували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факт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інформації з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доступом.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апеляційний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суд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скасував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незаконне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інстанції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закрив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відсутністю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.</w:t>
      </w:r>
    </w:p>
    <w:p w:rsidR="00671077" w:rsidRPr="00671077" w:rsidRDefault="00671077" w:rsidP="0067107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Слід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обережно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використовувати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службовий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 xml:space="preserve"> ЕЦП.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Фабула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>: </w:t>
      </w:r>
      <w:r w:rsidRPr="00671077">
        <w:rPr>
          <w:rFonts w:ascii="Times New Roman" w:hAnsi="Times New Roman" w:cs="Times New Roman"/>
          <w:sz w:val="28"/>
          <w:szCs w:val="28"/>
        </w:rPr>
        <w:t xml:space="preserve">Особа,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працюючи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 ОВС,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кваліфікований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підпис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цілях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 Державного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колишнього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надала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довідку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1077">
        <w:rPr>
          <w:rFonts w:ascii="Times New Roman" w:hAnsi="Times New Roman" w:cs="Times New Roman"/>
          <w:sz w:val="28"/>
          <w:szCs w:val="28"/>
        </w:rPr>
        <w:t>до суду</w:t>
      </w:r>
      <w:proofErr w:type="gram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аліментів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 </w:t>
      </w:r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(Постанова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від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27.05.2020 № 712/4115/20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Соснівський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районний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 xml:space="preserve"> суд м. </w:t>
      </w:r>
      <w:proofErr w:type="spellStart"/>
      <w:r w:rsidRPr="00671077">
        <w:rPr>
          <w:rFonts w:ascii="Times New Roman" w:hAnsi="Times New Roman" w:cs="Times New Roman"/>
          <w:i/>
          <w:iCs/>
          <w:sz w:val="28"/>
          <w:szCs w:val="28"/>
        </w:rPr>
        <w:t>Черкас</w:t>
      </w:r>
      <w:proofErr w:type="spellEnd"/>
      <w:r w:rsidRPr="00671077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Суд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встановив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доступу до інформації, яка не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для особи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конфіденційною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остання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достеменно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знала про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Державному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про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зазначила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запиті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видачу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персональні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колишнього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були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достовірно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так як вона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перебувала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шлюбі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 ним.</w:t>
      </w:r>
    </w:p>
    <w:p w:rsidR="00671077" w:rsidRPr="00671077" w:rsidRDefault="00671077" w:rsidP="0067107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077">
        <w:rPr>
          <w:rFonts w:ascii="Times New Roman" w:hAnsi="Times New Roman" w:cs="Times New Roman"/>
          <w:sz w:val="28"/>
          <w:szCs w:val="28"/>
        </w:rPr>
        <w:t xml:space="preserve">Таким чином, очевидно, що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було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закрито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відсутністю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.</w:t>
      </w:r>
    </w:p>
    <w:p w:rsidR="00F2425B" w:rsidRPr="00671077" w:rsidRDefault="00671077" w:rsidP="00F2425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77">
        <w:rPr>
          <w:rFonts w:ascii="Times New Roman" w:hAnsi="Times New Roman" w:cs="Times New Roman"/>
          <w:b/>
          <w:bCs/>
          <w:sz w:val="28"/>
          <w:szCs w:val="28"/>
        </w:rPr>
        <w:t>Висновки</w:t>
      </w:r>
      <w:proofErr w:type="spellEnd"/>
      <w:r w:rsidRPr="00671077">
        <w:rPr>
          <w:rFonts w:ascii="Times New Roman" w:hAnsi="Times New Roman" w:cs="Times New Roman"/>
          <w:b/>
          <w:bCs/>
          <w:sz w:val="28"/>
          <w:szCs w:val="28"/>
        </w:rPr>
        <w:t>. 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судові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кардинально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відрізнятись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. Тому у кожному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треба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досліджувати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обставини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долучені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докази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сам протокол. Як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міцна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аргументована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позиція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уникнути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077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67107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D6A9F" w:rsidRPr="008C1507" w:rsidRDefault="00AD6A9F">
      <w:pPr>
        <w:rPr>
          <w:lang w:val="uk-UA"/>
        </w:rPr>
      </w:pPr>
      <w:bookmarkStart w:id="1" w:name="n3764"/>
      <w:bookmarkEnd w:id="1"/>
    </w:p>
    <w:sectPr w:rsidR="00AD6A9F" w:rsidRPr="008C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A6486"/>
    <w:multiLevelType w:val="multilevel"/>
    <w:tmpl w:val="70329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D27C82"/>
    <w:multiLevelType w:val="multilevel"/>
    <w:tmpl w:val="D1BA58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8088A"/>
    <w:multiLevelType w:val="multilevel"/>
    <w:tmpl w:val="A566D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EF10DA"/>
    <w:multiLevelType w:val="multilevel"/>
    <w:tmpl w:val="7058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3F5824"/>
    <w:multiLevelType w:val="multilevel"/>
    <w:tmpl w:val="6E066A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F6"/>
    <w:rsid w:val="00064C43"/>
    <w:rsid w:val="001112A0"/>
    <w:rsid w:val="00124AF6"/>
    <w:rsid w:val="001710B3"/>
    <w:rsid w:val="002726EB"/>
    <w:rsid w:val="00341CBE"/>
    <w:rsid w:val="0036045C"/>
    <w:rsid w:val="004A6B29"/>
    <w:rsid w:val="004F0089"/>
    <w:rsid w:val="0060513D"/>
    <w:rsid w:val="0062185B"/>
    <w:rsid w:val="00653258"/>
    <w:rsid w:val="00671077"/>
    <w:rsid w:val="007D3C10"/>
    <w:rsid w:val="00807496"/>
    <w:rsid w:val="00866861"/>
    <w:rsid w:val="008706BB"/>
    <w:rsid w:val="008C1507"/>
    <w:rsid w:val="009D682B"/>
    <w:rsid w:val="00A237F5"/>
    <w:rsid w:val="00AD6A9F"/>
    <w:rsid w:val="00AD7C9B"/>
    <w:rsid w:val="00B75FAB"/>
    <w:rsid w:val="00CD6AE5"/>
    <w:rsid w:val="00CF1595"/>
    <w:rsid w:val="00CF2384"/>
    <w:rsid w:val="00DA5A9C"/>
    <w:rsid w:val="00DB750A"/>
    <w:rsid w:val="00E06B26"/>
    <w:rsid w:val="00E147A0"/>
    <w:rsid w:val="00E31BCB"/>
    <w:rsid w:val="00EF446F"/>
    <w:rsid w:val="00F17831"/>
    <w:rsid w:val="00F2425B"/>
    <w:rsid w:val="00FC3755"/>
    <w:rsid w:val="00F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95855-4F60-4A31-8E56-118F23DD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11F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C15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D7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2020-09-29T11:34:00Z</cp:lastPrinted>
  <dcterms:created xsi:type="dcterms:W3CDTF">2020-09-29T11:33:00Z</dcterms:created>
  <dcterms:modified xsi:type="dcterms:W3CDTF">2020-09-29T11:35:00Z</dcterms:modified>
</cp:coreProperties>
</file>